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308293</w:t>
      </w:r>
      <w:bookmarkStart w:id="1" w:name="_GoBack"/>
      <w:bookmarkEnd w:id="1"/>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Toulouse, France</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21 - 25</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August</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model control and other LCM procedures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In </w:t>
      </w:r>
      <w:r>
        <w:rPr>
          <w:rFonts w:hint="eastAsia" w:ascii="Arial" w:hAnsi="Arial" w:cs="Arial"/>
          <w:sz w:val="20"/>
          <w:szCs w:val="20"/>
          <w:lang w:val="en-US" w:eastAsia="zh-CN"/>
        </w:rPr>
        <w:t>RAN2#121bis-e meeting [1], RAN2 discussed UE capability and model control, and achieved the following agreements.</w:t>
      </w:r>
      <w:r>
        <w:rPr>
          <w:rFonts w:ascii="Arial" w:hAnsi="Arial" w:eastAsia="宋体" w:cs="Arial"/>
          <w:kern w:val="0"/>
          <w:sz w:val="20"/>
          <w:szCs w:val="20"/>
          <w:lang w:val="en-GB" w:eastAsia="en-US"/>
        </w:rPr>
        <w:t xml:space="preserve"> </w:t>
      </w:r>
    </w:p>
    <w:tbl>
      <w:tblPr>
        <w:tblStyle w:val="14"/>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5" w:type="dxa"/>
          </w:tcPr>
          <w:p>
            <w:pPr>
              <w:pStyle w:val="31"/>
              <w:numPr>
                <w:ilvl w:val="0"/>
                <w:numId w:val="4"/>
              </w:numPr>
              <w:tabs>
                <w:tab w:val="clear" w:pos="1619"/>
              </w:tabs>
              <w:rPr>
                <w:rFonts w:hint="default" w:ascii="Arial" w:hAnsi="Arial" w:cs="Arial"/>
                <w:sz w:val="20"/>
                <w:szCs w:val="21"/>
              </w:rPr>
            </w:pPr>
            <w:r>
              <w:rPr>
                <w:rFonts w:hint="default" w:ascii="Arial" w:hAnsi="Arial" w:cs="Arial"/>
                <w:sz w:val="20"/>
                <w:szCs w:val="21"/>
              </w:rPr>
              <w:t xml:space="preserve">FFS if For UE capability for AIML methods we use the UE capability mechanisms as defined for RRC reported and LPP reported capabilities. </w:t>
            </w:r>
          </w:p>
          <w:p>
            <w:pPr>
              <w:pStyle w:val="31"/>
              <w:numPr>
                <w:ilvl w:val="0"/>
                <w:numId w:val="4"/>
              </w:numPr>
              <w:tabs>
                <w:tab w:val="clear" w:pos="1619"/>
              </w:tabs>
              <w:rPr>
                <w:rFonts w:hint="default" w:ascii="Arial" w:hAnsi="Arial" w:cs="Arial"/>
                <w:sz w:val="20"/>
                <w:szCs w:val="21"/>
              </w:rPr>
            </w:pPr>
            <w:r>
              <w:rPr>
                <w:rFonts w:hint="default" w:ascii="Arial" w:hAnsi="Arial" w:cs="Arial"/>
                <w:sz w:val="20"/>
                <w:szCs w:val="21"/>
              </w:rPr>
              <w:t xml:space="preserve">For the CSI compression and beam management use cases, model/function selection/(de)activation/switching/fallback can be UE-initiated or gNB-initiated. </w:t>
            </w:r>
            <w:bookmarkStart w:id="0" w:name="OLE_LINK126"/>
            <w:r>
              <w:rPr>
                <w:rFonts w:hint="default" w:ascii="Arial" w:hAnsi="Arial" w:cs="Arial"/>
                <w:sz w:val="20"/>
                <w:szCs w:val="21"/>
              </w:rPr>
              <w:t xml:space="preserve">FFS how the different cases are different (e.g. applicability to UE-sided vs network sided model). </w:t>
            </w:r>
            <w:bookmarkEnd w:id="0"/>
          </w:p>
          <w:p>
            <w:pPr>
              <w:pStyle w:val="31"/>
              <w:numPr>
                <w:ilvl w:val="0"/>
                <w:numId w:val="4"/>
              </w:numPr>
              <w:tabs>
                <w:tab w:val="clear" w:pos="1619"/>
              </w:tabs>
              <w:rPr>
                <w:rFonts w:ascii="Arial" w:hAnsi="Arial" w:eastAsia="宋体" w:cs="Arial"/>
                <w:kern w:val="0"/>
                <w:sz w:val="20"/>
                <w:szCs w:val="20"/>
                <w:vertAlign w:val="baseline"/>
                <w:lang w:val="en-GB" w:eastAsia="en-US"/>
              </w:rPr>
            </w:pPr>
            <w:r>
              <w:rPr>
                <w:rFonts w:hint="default" w:ascii="Arial" w:hAnsi="Arial" w:cs="Arial"/>
                <w:sz w:val="20"/>
                <w:szCs w:val="21"/>
              </w:rPr>
              <w:t>For the positioning use case, model/function selection/(de)activation/switching/fallback can be UE-initiated or LMF-/ gNB-initiated. FFS how the different cases are different (e.g. applicability to UE-sided vs network sided model).</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open issues on model control and UE capability</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Model control</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RAN1 agreed to study the following mechanisms for model selection, activation, deactivation, switching, and fallback at least for UE-side model and UE-part of two-sided model, e.g. network-initiated, UE-initiated.</w:t>
      </w:r>
    </w:p>
    <w:tbl>
      <w:tblPr>
        <w:tblStyle w:val="14"/>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0" w:type="dxa"/>
          </w:tcPr>
          <w:p>
            <w:pPr>
              <w:spacing w:after="120"/>
              <w:ind w:left="0" w:firstLine="0"/>
              <w:rPr>
                <w:rFonts w:hint="default" w:ascii="Times New Roman" w:hAnsi="Times New Roman" w:cs="Times New Roman"/>
                <w:b w:val="0"/>
                <w:bCs/>
                <w:iCs/>
                <w:sz w:val="20"/>
                <w:szCs w:val="21"/>
                <w:highlight w:val="green"/>
                <w:lang w:eastAsia="zh-CN"/>
              </w:rPr>
            </w:pPr>
            <w:r>
              <w:rPr>
                <w:rFonts w:hint="eastAsia" w:ascii="Times New Roman" w:hAnsi="Times New Roman" w:cs="Times New Roman"/>
                <w:b w:val="0"/>
                <w:bCs/>
                <w:iCs/>
                <w:sz w:val="20"/>
                <w:szCs w:val="21"/>
                <w:highlight w:val="green"/>
                <w:lang w:val="en-US" w:eastAsia="zh-CN"/>
              </w:rPr>
              <w:t xml:space="preserve">RAN1#110b </w:t>
            </w:r>
            <w:r>
              <w:rPr>
                <w:rFonts w:hint="default" w:ascii="Times New Roman" w:hAnsi="Times New Roman" w:cs="Times New Roman"/>
                <w:b w:val="0"/>
                <w:bCs/>
                <w:iCs/>
                <w:sz w:val="20"/>
                <w:szCs w:val="21"/>
                <w:highlight w:val="green"/>
                <w:lang w:eastAsia="zh-CN"/>
              </w:rPr>
              <w:t>Agreement</w:t>
            </w:r>
          </w:p>
          <w:p>
            <w:pPr>
              <w:ind w:left="0" w:firstLine="0"/>
              <w:rPr>
                <w:rFonts w:hint="default" w:ascii="Times New Roman" w:hAnsi="Times New Roman" w:cs="Times New Roman"/>
                <w:sz w:val="20"/>
                <w:szCs w:val="21"/>
              </w:rPr>
            </w:pPr>
            <w:r>
              <w:rPr>
                <w:rFonts w:hint="default" w:ascii="Times New Roman" w:hAnsi="Times New Roman" w:cs="Times New Roman"/>
                <w:sz w:val="20"/>
                <w:szCs w:val="21"/>
              </w:rPr>
              <w:t>For model selection, activation, deactivation, switching, and fallback at least for UE sided models and two-sided models, study the following mechanisms:</w:t>
            </w:r>
          </w:p>
          <w:p>
            <w:pPr>
              <w:numPr>
                <w:ilvl w:val="0"/>
                <w:numId w:val="7"/>
              </w:numPr>
              <w:overflowPunct w:val="0"/>
              <w:autoSpaceDE w:val="0"/>
              <w:autoSpaceDN w:val="0"/>
              <w:adjustRightInd w:val="0"/>
              <w:ind w:left="714" w:hanging="357"/>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 xml:space="preserve">Decision by the network </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Network-initiated</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UE-initiated, requested to the network</w:t>
            </w:r>
          </w:p>
          <w:p>
            <w:pPr>
              <w:numPr>
                <w:ilvl w:val="0"/>
                <w:numId w:val="7"/>
              </w:numPr>
              <w:overflowPunct w:val="0"/>
              <w:autoSpaceDE w:val="0"/>
              <w:autoSpaceDN w:val="0"/>
              <w:adjustRightInd w:val="0"/>
              <w:ind w:left="714" w:hanging="357"/>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Decision by the UE</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Event-triggered as configured by the network, UE’s decision is reported to network</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UE-autonomous, UE’s decision is reported to the network</w:t>
            </w:r>
          </w:p>
          <w:p>
            <w:pPr>
              <w:numPr>
                <w:ilvl w:val="1"/>
                <w:numId w:val="7"/>
              </w:numPr>
              <w:overflowPunct w:val="0"/>
              <w:autoSpaceDE w:val="0"/>
              <w:autoSpaceDN w:val="0"/>
              <w:adjustRightInd w:val="0"/>
              <w:contextualSpacing/>
              <w:textAlignment w:val="baseline"/>
              <w:rPr>
                <w:rFonts w:hint="default" w:ascii="Times New Roman" w:hAnsi="Times New Roman" w:eastAsia="宋体" w:cs="Times New Roman"/>
                <w:sz w:val="20"/>
                <w:szCs w:val="18"/>
                <w:lang w:eastAsia="zh-CN"/>
              </w:rPr>
            </w:pPr>
            <w:r>
              <w:rPr>
                <w:rFonts w:hint="default" w:ascii="Times New Roman" w:hAnsi="Times New Roman" w:eastAsia="宋体" w:cs="Times New Roman"/>
                <w:sz w:val="20"/>
                <w:szCs w:val="18"/>
                <w:lang w:eastAsia="zh-CN"/>
              </w:rPr>
              <w:t>UE-autonomous, UE’s decision is not reported to the network</w:t>
            </w:r>
          </w:p>
          <w:p>
            <w:pPr>
              <w:ind w:left="0" w:firstLine="0"/>
              <w:rPr>
                <w:rFonts w:hint="default" w:ascii="Times New Roman" w:hAnsi="Times New Roman" w:eastAsia="等线" w:cs="Times New Roman"/>
                <w:sz w:val="20"/>
                <w:szCs w:val="21"/>
                <w:lang w:eastAsia="zh-CN"/>
              </w:rPr>
            </w:pPr>
            <w:r>
              <w:rPr>
                <w:rFonts w:hint="default" w:ascii="Times New Roman" w:hAnsi="Times New Roman" w:eastAsia="等线" w:cs="Times New Roman"/>
                <w:sz w:val="20"/>
                <w:szCs w:val="21"/>
                <w:lang w:eastAsia="zh-CN"/>
              </w:rPr>
              <w:t>FFS: for network sided models</w:t>
            </w:r>
          </w:p>
          <w:p>
            <w:pPr>
              <w:ind w:left="0" w:firstLine="0"/>
              <w:rPr>
                <w:rFonts w:hint="default" w:ascii="Times New Roman" w:hAnsi="Times New Roman" w:eastAsia="等线" w:cs="Times New Roman"/>
                <w:sz w:val="20"/>
                <w:szCs w:val="21"/>
                <w:lang w:eastAsia="zh-CN"/>
              </w:rPr>
            </w:pPr>
            <w:r>
              <w:rPr>
                <w:rFonts w:hint="default" w:ascii="Times New Roman" w:hAnsi="Times New Roman" w:eastAsia="等线" w:cs="Times New Roman"/>
                <w:sz w:val="20"/>
                <w:szCs w:val="21"/>
                <w:lang w:eastAsia="zh-CN"/>
              </w:rPr>
              <w:t>FFS: other mechanisms</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eastAsia="等线" w:cs="Times New Roman"/>
                <w:sz w:val="20"/>
                <w:szCs w:val="21"/>
                <w:highlight w:val="green"/>
                <w:lang w:eastAsia="zh-CN"/>
              </w:rPr>
            </w:pPr>
            <w:r>
              <w:rPr>
                <w:rFonts w:hint="default" w:ascii="Times New Roman" w:hAnsi="Times New Roman" w:eastAsia="等线" w:cs="Times New Roman"/>
                <w:sz w:val="20"/>
                <w:szCs w:val="21"/>
                <w:highlight w:val="green"/>
                <w:lang w:val="en-US" w:eastAsia="zh-CN"/>
              </w:rPr>
              <w:t xml:space="preserve">RAN1#112 </w:t>
            </w:r>
            <w:r>
              <w:rPr>
                <w:rFonts w:hint="default" w:ascii="Times New Roman" w:hAnsi="Times New Roman" w:eastAsia="等线" w:cs="Times New Roman"/>
                <w:sz w:val="20"/>
                <w:szCs w:val="21"/>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For UE-side models and UE-part of two-sided models:</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In functionality-based LCM</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 xml:space="preserve">Network indicates </w:t>
            </w:r>
            <w:r>
              <w:rPr>
                <w:rFonts w:hint="default" w:ascii="Times New Roman" w:hAnsi="Times New Roman" w:cs="Times New Roman"/>
                <w:sz w:val="20"/>
                <w:szCs w:val="21"/>
                <w:highlight w:val="none"/>
              </w:rPr>
              <w:t>activation/deactivation/fallback/switching</w:t>
            </w:r>
            <w:r>
              <w:rPr>
                <w:rFonts w:hint="default" w:ascii="Times New Roman" w:hAnsi="Times New Roman" w:cs="Times New Roman"/>
                <w:sz w:val="20"/>
                <w:szCs w:val="21"/>
              </w:rPr>
              <w:t xml:space="preserve"> of AI/ML functionality via 3GPP signaling (e.g., RRC, MAC-CE, DCI). </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color w:val="auto"/>
                <w:sz w:val="20"/>
                <w:szCs w:val="21"/>
              </w:rPr>
              <w:t>Models may not be identified at the Network, and UE may perform model-level LCM</w:t>
            </w:r>
            <w:r>
              <w:rPr>
                <w:rFonts w:hint="default" w:ascii="Times New Roman" w:hAnsi="Times New Roman" w:cs="Times New Roman"/>
                <w:sz w:val="20"/>
                <w:szCs w:val="21"/>
              </w:rPr>
              <w:t>.</w:t>
            </w:r>
          </w:p>
          <w:p>
            <w:pPr>
              <w:keepNext w:val="0"/>
              <w:keepLines w:val="0"/>
              <w:pageBreakBefore w:val="0"/>
              <w:widowControl w:val="0"/>
              <w:numPr>
                <w:ilvl w:val="2"/>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Study whether and how much awareness/interaction NW should have about model-level LCM</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1"/>
              </w:rPr>
            </w:pPr>
            <w:r>
              <w:rPr>
                <w:rFonts w:hint="default" w:ascii="Times New Roman" w:hAnsi="Times New Roman" w:cs="Times New Roman"/>
                <w:sz w:val="20"/>
                <w:szCs w:val="21"/>
              </w:rPr>
              <w:t xml:space="preserve">In model-ID-based LCM, models are identified at the Network, and Network/UE may activate/deactivate/select/switch individual AI/ML models via model ID. </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FFS: Relationship between functionality identification and model identification</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1"/>
              </w:rPr>
            </w:pPr>
            <w:r>
              <w:rPr>
                <w:rFonts w:hint="default" w:ascii="Times New Roman" w:hAnsi="Times New Roman" w:cs="Times New Roman"/>
                <w:sz w:val="20"/>
                <w:szCs w:val="21"/>
              </w:rPr>
              <w:t>FFS: Performance monitoring and RAN4 impact</w:t>
            </w:r>
            <w:r>
              <w:rPr>
                <w:rFonts w:hint="default" w:ascii="Times New Roman" w:hAnsi="Times New Roman" w:cs="Times New Roman"/>
                <w:strike/>
                <w:sz w:val="20"/>
                <w:szCs w:val="21"/>
              </w:rPr>
              <w:t xml:space="preserve"> </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eastAsia="等线" w:cs="Times New Roman"/>
                <w:sz w:val="20"/>
                <w:szCs w:val="21"/>
                <w:lang w:eastAsia="zh-CN"/>
              </w:rPr>
            </w:pPr>
            <w:r>
              <w:rPr>
                <w:rFonts w:hint="default" w:ascii="Times New Roman" w:hAnsi="Times New Roman" w:cs="Times New Roman"/>
                <w:sz w:val="20"/>
                <w:szCs w:val="21"/>
              </w:rPr>
              <w:t xml:space="preserve">FFS: detailed understanding on model </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For CSI compression with two-sided model, RAN2#120 agreed to achieve simultaneous (de)activation and switching of the two-sided model and ensure that models are matched properly at both UE and gNB sides.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1"/>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 xml:space="preserve">RAN2 scope includes procedures, protocols, and signaling for two-sided CSI use case(s), e.g.  </w:t>
            </w:r>
          </w:p>
          <w:p>
            <w:pPr>
              <w:pStyle w:val="31"/>
              <w:numPr>
                <w:ilvl w:val="0"/>
                <w:numId w:val="9"/>
              </w:numPr>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 xml:space="preserve">Ensuring UE and gNB side models are configured / applied based on their applicable configurations / scenarios. </w:t>
            </w:r>
          </w:p>
          <w:p>
            <w:pPr>
              <w:pStyle w:val="31"/>
              <w:numPr>
                <w:ilvl w:val="0"/>
                <w:numId w:val="9"/>
              </w:numPr>
              <w:tabs>
                <w:tab w:val="left" w:pos="1352"/>
                <w:tab w:val="clear" w:pos="1619"/>
              </w:tabs>
              <w:rPr>
                <w:rFonts w:hint="default" w:ascii="Arial" w:hAnsi="Arial" w:cs="Arial"/>
                <w:sz w:val="20"/>
                <w:szCs w:val="21"/>
                <w:lang w:val="fr-FR" w:eastAsia="zh-CN"/>
              </w:rPr>
            </w:pPr>
            <w:r>
              <w:rPr>
                <w:rFonts w:hint="default" w:ascii="Arial" w:hAnsi="Arial" w:cs="Arial"/>
                <w:sz w:val="20"/>
                <w:szCs w:val="21"/>
                <w:lang w:val="fr-FR" w:eastAsia="zh-CN"/>
              </w:rPr>
              <w:t>Ensuring that models are matched properly at both UE and gNB sides, i.e., when a CSI encoder is used at the UE corresponding CSI decoder is used at the gNB</w:t>
            </w:r>
          </w:p>
          <w:p>
            <w:pPr>
              <w:pStyle w:val="31"/>
              <w:numPr>
                <w:ilvl w:val="0"/>
                <w:numId w:val="9"/>
              </w:numPr>
              <w:tabs>
                <w:tab w:val="left" w:pos="1352"/>
                <w:tab w:val="clear" w:pos="1619"/>
              </w:tabs>
              <w:rPr>
                <w:rFonts w:hint="eastAsia" w:ascii="Arial" w:hAnsi="Arial" w:cs="Arial"/>
                <w:b w:val="0"/>
                <w:bCs/>
                <w:sz w:val="20"/>
                <w:szCs w:val="20"/>
                <w:vertAlign w:val="baseline"/>
                <w:lang w:val="en-US" w:eastAsia="zh-CN"/>
              </w:rPr>
            </w:pPr>
            <w:r>
              <w:rPr>
                <w:rFonts w:hint="default" w:ascii="Arial" w:hAnsi="Arial" w:cs="Arial"/>
                <w:sz w:val="20"/>
                <w:szCs w:val="21"/>
                <w:lang w:val="fr-FR" w:eastAsia="zh-CN"/>
              </w:rPr>
              <w:t>Achieving simultaneous (de)activation and switching of the two-sided model</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RAN1 also agreed that NW make decisions of model activation/deactivation/updating/switching.</w:t>
      </w:r>
    </w:p>
    <w:tbl>
      <w:tblPr>
        <w:tblStyle w:val="14"/>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6" w:type="dxa"/>
          </w:tcPr>
          <w:p>
            <w:pPr>
              <w:widowControl w:val="0"/>
              <w:spacing w:after="0" w:line="240" w:lineRule="auto"/>
              <w:rPr>
                <w:rFonts w:hint="default" w:ascii="Times New Roman" w:hAnsi="Times New Roman" w:eastAsia="宋体" w:cs="Times New Roman"/>
                <w:b w:val="0"/>
                <w:bCs w:val="0"/>
                <w:sz w:val="20"/>
                <w:szCs w:val="20"/>
                <w:highlight w:val="green"/>
                <w:lang w:val="en-US" w:eastAsia="zh-CN"/>
              </w:rPr>
            </w:pPr>
            <w:r>
              <w:rPr>
                <w:rFonts w:hint="default" w:ascii="Times New Roman" w:hAnsi="Times New Roman" w:eastAsia="宋体" w:cs="Times New Roman"/>
                <w:b w:val="0"/>
                <w:bCs w:val="0"/>
                <w:sz w:val="20"/>
                <w:szCs w:val="20"/>
                <w:lang w:val="en-US" w:eastAsia="zh-CN"/>
              </w:rPr>
              <w:t xml:space="preserve"> </w:t>
            </w:r>
            <w:r>
              <w:rPr>
                <w:rFonts w:hint="default" w:ascii="Times New Roman" w:hAnsi="Times New Roman" w:eastAsia="宋体" w:cs="Times New Roman"/>
                <w:b w:val="0"/>
                <w:bCs w:val="0"/>
                <w:sz w:val="20"/>
                <w:szCs w:val="20"/>
                <w:highlight w:val="green"/>
                <w:lang w:val="en-US" w:eastAsia="zh-CN"/>
              </w:rPr>
              <w:t>RAN1#110b Agreement</w:t>
            </w:r>
          </w:p>
          <w:p>
            <w:pPr>
              <w:widowControl w:val="0"/>
              <w:numPr>
                <w:ilvl w:val="0"/>
                <w:numId w:val="10"/>
              </w:numPr>
              <w:overflowPunct w:val="0"/>
              <w:autoSpaceDE w:val="0"/>
              <w:autoSpaceDN w:val="0"/>
              <w:adjustRightInd w:val="0"/>
              <w:spacing w:after="0" w:line="240" w:lineRule="auto"/>
              <w:ind w:left="726" w:hanging="363"/>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NW-side performance monitoring: NW monitors the performance and make decisions of model activation/ deactivation/updating/switching    </w:t>
            </w:r>
          </w:p>
          <w:p>
            <w:pPr>
              <w:widowControl w:val="0"/>
              <w:numPr>
                <w:ilvl w:val="0"/>
                <w:numId w:val="10"/>
              </w:numPr>
              <w:overflowPunct w:val="0"/>
              <w:autoSpaceDE w:val="0"/>
              <w:autoSpaceDN w:val="0"/>
              <w:adjustRightInd w:val="0"/>
              <w:spacing w:after="0" w:line="240" w:lineRule="auto"/>
              <w:ind w:left="726" w:hanging="363"/>
              <w:textAlignment w:val="baseline"/>
              <w:rPr>
                <w:szCs w:val="18"/>
              </w:rPr>
            </w:pPr>
            <w:r>
              <w:rPr>
                <w:rFonts w:hint="default" w:ascii="Times New Roman" w:hAnsi="Times New Roman" w:cs="Times New Roman"/>
                <w:sz w:val="20"/>
                <w:szCs w:val="20"/>
              </w:rPr>
              <w:t>UE-side performance monitoring: UE monitors the performance and reports to Network, NW makes decisions of model activation/ deactivation/updating/switching</w:t>
            </w:r>
          </w:p>
        </w:tc>
      </w:tr>
    </w:tbl>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Based on RAN1 and RAN2 agreements, we think the mechanism of decision by the network is applicable for CSI compression with two-sided model use case, i.e. network can initiate the model control, or UE can initiate the model control and request to network, the network makes decision then indicates to the UE to make sure models are matched properly at both UE and gNB. RAN2 can further study the enhancements on this mechanism.</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CSI compression with two-sided model, RAN2 further study the following mechanism for model control:</w:t>
      </w:r>
    </w:p>
    <w:p>
      <w:pPr>
        <w:numPr>
          <w:ilvl w:val="0"/>
          <w:numId w:val="11"/>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1"/>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UE-initiated: UE initiates model control and requests to the gNB, gNB makes decision then indicates the decision to UE. </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For beam management with UE-side model, the mechanism of decision by network and UE are applicable according to the following RAN1 agreements. Considering this use case only involves UE and gNB, we understand that the network here refers to gNB. gNB can make decision for model control, e.g. based on the result of model monitoring (including UE and gNB monitoring) or based on UE request. Of course, UE can also make decision for model control since UE can monitor the performance of the model. As indicated in above RAN1 agreements, UE can make decision based on event configured by NW or autonomously, and reports the decision to NW. On the other hand, UE</w:t>
      </w:r>
      <w:r>
        <w:rPr>
          <w:rFonts w:hint="default" w:ascii="Arial" w:hAnsi="Arial" w:cs="Arial"/>
          <w:b w:val="0"/>
          <w:bCs/>
          <w:sz w:val="20"/>
          <w:szCs w:val="20"/>
          <w:lang w:val="en-US" w:eastAsia="zh-CN"/>
        </w:rPr>
        <w:t>’</w:t>
      </w:r>
      <w:r>
        <w:rPr>
          <w:rFonts w:hint="eastAsia" w:ascii="Arial" w:hAnsi="Arial" w:cs="Arial"/>
          <w:b w:val="0"/>
          <w:bCs/>
          <w:sz w:val="20"/>
          <w:szCs w:val="20"/>
          <w:lang w:val="en-US" w:eastAsia="zh-CN"/>
        </w:rPr>
        <w:t xml:space="preserve">s decision may be not reported to NW, we think this option may have no impacts on RAN2 and is up to UE implementation.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ind w:left="0" w:firstLine="0"/>
              <w:rPr>
                <w:rFonts w:hint="default" w:ascii="Times New Roman" w:hAnsi="Times New Roman" w:eastAsia="宋体" w:cs="Times New Roman"/>
                <w:b w:val="0"/>
                <w:bCs/>
                <w:i w:val="0"/>
                <w:iCs/>
                <w:kern w:val="2"/>
                <w:sz w:val="20"/>
                <w:szCs w:val="21"/>
                <w:highlight w:val="green"/>
                <w:u w:val="none"/>
                <w:lang w:eastAsia="zh-CN"/>
              </w:rPr>
            </w:pPr>
            <w:r>
              <w:rPr>
                <w:rFonts w:hint="eastAsia" w:ascii="Times New Roman" w:hAnsi="Times New Roman" w:eastAsia="宋体" w:cs="Times New Roman"/>
                <w:b w:val="0"/>
                <w:bCs/>
                <w:i w:val="0"/>
                <w:iCs/>
                <w:kern w:val="2"/>
                <w:sz w:val="20"/>
                <w:szCs w:val="21"/>
                <w:highlight w:val="green"/>
                <w:u w:val="none"/>
                <w:lang w:val="en-US" w:eastAsia="zh-CN"/>
              </w:rPr>
              <w:t xml:space="preserve">RAN1#110b </w:t>
            </w:r>
            <w:r>
              <w:rPr>
                <w:rFonts w:hint="default" w:ascii="Times New Roman" w:hAnsi="Times New Roman" w:eastAsia="宋体" w:cs="Times New Roman"/>
                <w:b w:val="0"/>
                <w:bCs/>
                <w:i w:val="0"/>
                <w:iCs/>
                <w:kern w:val="2"/>
                <w:sz w:val="20"/>
                <w:szCs w:val="21"/>
                <w:highlight w:val="green"/>
                <w:u w:val="none"/>
                <w:lang w:eastAsia="zh-CN"/>
              </w:rPr>
              <w:t>Agreement</w:t>
            </w:r>
          </w:p>
          <w:p>
            <w:pPr>
              <w:spacing w:after="120"/>
              <w:ind w:left="0" w:firstLine="0"/>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For BM-Case1 and BM-Case2 with a UE-side AI/ML model, study the following alternatives for model monitoring with potential down-selection: </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Atl1. UE-side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numPr>
                <w:ilvl w:val="1"/>
                <w:numId w:val="12"/>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UE makes decision(s) of model selection/activation/ deactivation/switching/fallback operation</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MS Gothic" w:cs="Times New Roman"/>
                <w:b w:val="0"/>
                <w:bCs/>
                <w:i w:val="0"/>
                <w:iCs/>
                <w:kern w:val="2"/>
                <w:sz w:val="20"/>
                <w:szCs w:val="18"/>
                <w:lang w:val="en-US" w:eastAsia="ja-JP"/>
              </w:rPr>
              <w:t>Atl2. NW-side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NW monitors the performance metric(s) </w:t>
            </w:r>
          </w:p>
          <w:p>
            <w:pPr>
              <w:numPr>
                <w:ilvl w:val="1"/>
                <w:numId w:val="12"/>
              </w:numPr>
              <w:contextualSpacing/>
              <w:rPr>
                <w:rFonts w:hint="default" w:ascii="Times New Roman" w:hAnsi="Times New Roman" w:eastAsia="Yu Mincho" w:cs="Times New Roman"/>
                <w:b w:val="0"/>
                <w:bCs/>
                <w:i w:val="0"/>
                <w:iCs/>
                <w:sz w:val="20"/>
                <w:szCs w:val="21"/>
                <w:lang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p>
            <w:pPr>
              <w:numPr>
                <w:ilvl w:val="0"/>
                <w:numId w:val="12"/>
              </w:numPr>
              <w:rPr>
                <w:rFonts w:hint="default" w:ascii="Times New Roman" w:hAnsi="Times New Roman" w:eastAsia="Yu Mincho" w:cs="Times New Roman"/>
                <w:b w:val="0"/>
                <w:bCs/>
                <w:i w:val="0"/>
                <w:iCs/>
                <w:kern w:val="2"/>
                <w:sz w:val="20"/>
                <w:szCs w:val="18"/>
                <w:lang w:val="en-US" w:eastAsia="ja-JP"/>
              </w:rPr>
            </w:pPr>
            <w:r>
              <w:rPr>
                <w:rFonts w:hint="default" w:ascii="Times New Roman" w:hAnsi="Times New Roman" w:eastAsia="Yu Mincho" w:cs="Times New Roman"/>
                <w:b w:val="0"/>
                <w:bCs/>
                <w:i w:val="0"/>
                <w:iCs/>
                <w:kern w:val="2"/>
                <w:sz w:val="20"/>
                <w:szCs w:val="18"/>
                <w:lang w:val="en-US" w:eastAsia="ja-JP"/>
              </w:rPr>
              <w:t>Alt3. Hybrid model monitoring</w:t>
            </w:r>
          </w:p>
          <w:p>
            <w:pPr>
              <w:numPr>
                <w:ilvl w:val="1"/>
                <w:numId w:val="12"/>
              </w:numPr>
              <w:contextualSpacing/>
              <w:rPr>
                <w:rFonts w:hint="default" w:ascii="Times New Roman" w:hAnsi="Times New Roman" w:eastAsia="Yu Mincho" w:cs="Times New Roman"/>
                <w:b w:val="0"/>
                <w:bCs/>
                <w:i w:val="0"/>
                <w:iCs/>
                <w:sz w:val="20"/>
                <w:szCs w:val="18"/>
                <w:lang w:eastAsia="ja-JP"/>
              </w:rPr>
            </w:pPr>
            <w:r>
              <w:rPr>
                <w:rFonts w:hint="default" w:ascii="Times New Roman" w:hAnsi="Times New Roman" w:eastAsia="Yu Mincho" w:cs="Times New Roman"/>
                <w:b w:val="0"/>
                <w:bCs/>
                <w:i w:val="0"/>
                <w:iCs/>
                <w:sz w:val="20"/>
                <w:szCs w:val="18"/>
                <w:lang w:eastAsia="ja-JP"/>
              </w:rPr>
              <w:t xml:space="preserve">UE monitors the performance metric(s) </w:t>
            </w:r>
          </w:p>
          <w:p>
            <w:pPr>
              <w:numPr>
                <w:ilvl w:val="1"/>
                <w:numId w:val="12"/>
              </w:numPr>
              <w:contextualSpacing/>
              <w:rPr>
                <w:rFonts w:hint="default" w:ascii="Arial" w:hAnsi="Arial" w:cs="Arial"/>
                <w:b w:val="0"/>
                <w:bCs/>
                <w:sz w:val="20"/>
                <w:szCs w:val="20"/>
                <w:vertAlign w:val="baseline"/>
                <w:lang w:val="en-US" w:eastAsia="zh-CN"/>
              </w:rPr>
            </w:pPr>
            <w:r>
              <w:rPr>
                <w:rFonts w:hint="default" w:ascii="Times New Roman" w:hAnsi="Times New Roman" w:eastAsia="Yu Mincho" w:cs="Times New Roman"/>
                <w:b w:val="0"/>
                <w:bCs/>
                <w:i w:val="0"/>
                <w:iCs/>
                <w:sz w:val="20"/>
                <w:szCs w:val="18"/>
                <w:lang w:eastAsia="ja-JP"/>
              </w:rPr>
              <w:t>NW makes decision(s) of model selection/activation/ deactivation/switching/ fallback operation</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Based on the above analysis, RAN2 can further study the gNB-initiated and UE-initiated mechanism for beam management with UE-side model.</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beam management with UE-side model, RAN2 further study the following mechanism for model control:</w:t>
      </w:r>
    </w:p>
    <w:p>
      <w:pPr>
        <w:numPr>
          <w:ilvl w:val="0"/>
          <w:numId w:val="13"/>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3"/>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numPr>
          <w:ilvl w:val="1"/>
          <w:numId w:val="13"/>
        </w:numPr>
        <w:spacing w:before="120" w:beforeLines="50" w:after="120" w:line="260" w:lineRule="exact"/>
        <w:ind w:left="1260" w:leftChars="0" w:hanging="420"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gNB, gNB makes decision then indicates the decision to UE.</w:t>
      </w:r>
    </w:p>
    <w:p>
      <w:pPr>
        <w:numPr>
          <w:ilvl w:val="1"/>
          <w:numId w:val="13"/>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gNB, and reports the decision to gNB.</w:t>
      </w:r>
    </w:p>
    <w:p>
      <w:pPr>
        <w:numPr>
          <w:ilvl w:val="1"/>
          <w:numId w:val="13"/>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gNB.</w:t>
      </w:r>
    </w:p>
    <w:p>
      <w:pPr>
        <w:numPr>
          <w:ilvl w:val="1"/>
          <w:numId w:val="13"/>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gNB.</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positioning with UE-side model, at least UE and LMF can derive monitoring metric based on RAN1 agreement. Thus, the decision of model control can be also made at least by UE or LMF. Furthermore, LMF-initiated and UE-initiated model control can be further studied, similarly to the mechanism for beam management.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0" w:line="240" w:lineRule="auto"/>
              <w:rPr>
                <w:rFonts w:hint="default" w:ascii="Times New Roman" w:hAnsi="Times New Roman" w:eastAsia="等线" w:cs="Times New Roman"/>
                <w:b w:val="0"/>
                <w:bCs w:val="0"/>
                <w:sz w:val="20"/>
                <w:szCs w:val="20"/>
                <w:highlight w:val="green"/>
                <w:lang w:eastAsia="zh-CN"/>
              </w:rPr>
            </w:pPr>
            <w:r>
              <w:rPr>
                <w:rFonts w:hint="default" w:ascii="Times New Roman" w:hAnsi="Times New Roman" w:eastAsia="等线" w:cs="Times New Roman"/>
                <w:b w:val="0"/>
                <w:bCs w:val="0"/>
                <w:sz w:val="20"/>
                <w:szCs w:val="20"/>
                <w:highlight w:val="green"/>
                <w:lang w:val="en-US" w:eastAsia="zh-CN"/>
              </w:rPr>
              <w:t xml:space="preserve">RAN1#112bis-e </w:t>
            </w:r>
            <w:r>
              <w:rPr>
                <w:rFonts w:hint="default" w:ascii="Times New Roman" w:hAnsi="Times New Roman" w:eastAsia="等线" w:cs="Times New Roman"/>
                <w:b w:val="0"/>
                <w:bCs w:val="0"/>
                <w:sz w:val="20"/>
                <w:szCs w:val="20"/>
                <w:highlight w:val="green"/>
                <w:lang w:eastAsia="zh-CN"/>
              </w:rPr>
              <w:t>Agreement</w:t>
            </w:r>
          </w:p>
          <w:p>
            <w:p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Regarding monitoring for AI/ML based positioning, at least the following entities are identified to derive monitoring metric</w:t>
            </w:r>
          </w:p>
          <w:p>
            <w:pPr>
              <w:numPr>
                <w:ilvl w:val="0"/>
                <w:numId w:val="14"/>
              </w:num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UE at least for Case 1 and 2a (with UE-side model)</w:t>
            </w:r>
          </w:p>
          <w:p>
            <w:pPr>
              <w:numPr>
                <w:ilvl w:val="0"/>
                <w:numId w:val="14"/>
              </w:numPr>
              <w:spacing w:after="0"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gNB at least for Case 3a (with gNB-side model)</w:t>
            </w:r>
          </w:p>
          <w:p>
            <w:pPr>
              <w:numPr>
                <w:ilvl w:val="0"/>
                <w:numId w:val="14"/>
              </w:numPr>
              <w:spacing w:after="0" w:line="240" w:lineRule="auto"/>
              <w:rPr>
                <w:rFonts w:hint="default" w:ascii="Times New Roman" w:hAnsi="Times New Roman" w:eastAsia="宋体" w:cs="Times New Roman"/>
                <w:sz w:val="20"/>
                <w:szCs w:val="21"/>
                <w:lang w:val="en-US" w:eastAsia="zh-CN"/>
              </w:rPr>
            </w:pPr>
            <w:r>
              <w:rPr>
                <w:rFonts w:hint="default" w:ascii="Times New Roman" w:hAnsi="Times New Roman" w:cs="Times New Roman"/>
                <w:sz w:val="20"/>
                <w:szCs w:val="21"/>
                <w:lang w:eastAsia="zh-CN"/>
              </w:rPr>
              <w:t>LMF at least for Case 2b and 3b (with LMF-side model)</w:t>
            </w:r>
          </w:p>
          <w:p>
            <w:pPr>
              <w:spacing w:after="60" w:line="240" w:lineRule="auto"/>
              <w:rPr>
                <w:rFonts w:hint="default" w:ascii="Times New Roman" w:hAnsi="Times New Roman" w:eastAsia="等线" w:cs="Times New Roman"/>
                <w:b w:val="0"/>
                <w:bCs w:val="0"/>
                <w:sz w:val="20"/>
                <w:szCs w:val="20"/>
                <w:highlight w:val="green"/>
                <w:lang w:val="en-US" w:eastAsia="zh-CN"/>
              </w:rPr>
            </w:pPr>
            <w:r>
              <w:rPr>
                <w:rFonts w:hint="default" w:ascii="Times New Roman" w:hAnsi="Times New Roman" w:eastAsia="等线" w:cs="Times New Roman"/>
                <w:b w:val="0"/>
                <w:bCs w:val="0"/>
                <w:sz w:val="20"/>
                <w:szCs w:val="20"/>
                <w:highlight w:val="green"/>
                <w:lang w:val="en-US" w:eastAsia="zh-CN"/>
              </w:rPr>
              <w:t xml:space="preserve">RAN1#113 </w:t>
            </w:r>
            <w:r>
              <w:rPr>
                <w:rFonts w:hint="default" w:ascii="Times New Roman" w:hAnsi="Times New Roman" w:eastAsia="宋体" w:cs="Times New Roman"/>
                <w:b w:val="0"/>
                <w:bCs w:val="0"/>
                <w:iCs/>
                <w:kern w:val="2"/>
                <w:sz w:val="20"/>
                <w:szCs w:val="20"/>
                <w:highlight w:val="green"/>
                <w:lang w:val="en-US" w:eastAsia="zh-CN"/>
              </w:rPr>
              <w:t>Agreement</w:t>
            </w:r>
          </w:p>
          <w:p>
            <w:pPr>
              <w:adjustRightInd w:val="0"/>
              <w:snapToGrid w:val="0"/>
              <w:spacing w:line="240" w:lineRule="auto"/>
              <w:rPr>
                <w:rFonts w:hint="default" w:ascii="Times New Roman" w:hAnsi="Times New Roman" w:cs="Times New Roman"/>
                <w:sz w:val="20"/>
                <w:szCs w:val="21"/>
                <w:lang w:eastAsia="zh-CN"/>
              </w:rPr>
            </w:pPr>
            <w:r>
              <w:rPr>
                <w:rFonts w:hint="default" w:ascii="Times New Roman" w:hAnsi="Times New Roman" w:cs="Times New Roman"/>
                <w:color w:val="000000"/>
                <w:sz w:val="20"/>
                <w:szCs w:val="21"/>
              </w:rPr>
              <w:t>Regarding AI/</w:t>
            </w:r>
            <w:r>
              <w:rPr>
                <w:rFonts w:hint="default" w:ascii="Times New Roman" w:hAnsi="Times New Roman" w:cs="Times New Roman"/>
                <w:sz w:val="20"/>
                <w:szCs w:val="21"/>
              </w:rPr>
              <w:t>ML model monitoring for AI/ML based positioning, the following entities are identified as candidates to derive monitoring metric in addition to entities from previous agreement</w:t>
            </w:r>
          </w:p>
          <w:p>
            <w:pPr>
              <w:numPr>
                <w:ilvl w:val="0"/>
                <w:numId w:val="14"/>
              </w:numPr>
              <w:adjustRightInd w:val="0"/>
              <w:snapToGrid w:val="0"/>
              <w:spacing w:line="240" w:lineRule="auto"/>
              <w:rPr>
                <w:rFonts w:ascii="Arial" w:hAnsi="Arial" w:eastAsia="宋体" w:cs="Arial"/>
                <w:lang w:val="en-US" w:eastAsia="zh-CN"/>
              </w:rPr>
            </w:pPr>
            <w:r>
              <w:rPr>
                <w:rFonts w:hint="default" w:ascii="Times New Roman" w:hAnsi="Times New Roman" w:eastAsia="Batang" w:cs="Times New Roman"/>
                <w:sz w:val="20"/>
                <w:szCs w:val="21"/>
              </w:rPr>
              <w:t xml:space="preserve">LMF for Case 2a (with UE-side model) and Case 3a (with gNB-side model) at least when monitoring is </w:t>
            </w:r>
            <w:r>
              <w:rPr>
                <w:rFonts w:hint="default" w:ascii="Times New Roman" w:hAnsi="Times New Roman" w:eastAsia="Batang" w:cs="Times New Roman"/>
                <w:sz w:val="20"/>
                <w:szCs w:val="21"/>
                <w:lang w:eastAsia="ja-JP"/>
              </w:rPr>
              <w:t>based on provided ground truth label (or its approximation)</w:t>
            </w:r>
          </w:p>
        </w:tc>
      </w:tr>
    </w:tbl>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positioning with UE-side model, RAN2 further study the following mechanism for model control:</w:t>
      </w:r>
    </w:p>
    <w:p>
      <w:pPr>
        <w:numPr>
          <w:ilvl w:val="0"/>
          <w:numId w:val="15"/>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LMF-initiated: LMF initiates and makes decision of model control, then indicates the decision to UE.</w:t>
      </w:r>
    </w:p>
    <w:p>
      <w:pPr>
        <w:numPr>
          <w:ilvl w:val="0"/>
          <w:numId w:val="15"/>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numPr>
          <w:ilvl w:val="1"/>
          <w:numId w:val="15"/>
        </w:numPr>
        <w:spacing w:before="120" w:beforeLines="50" w:after="120" w:line="260" w:lineRule="exact"/>
        <w:ind w:left="1260" w:leftChars="0" w:hanging="420"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LMF, LMF makes decision then indicates the decision to UE.</w:t>
      </w:r>
    </w:p>
    <w:p>
      <w:pPr>
        <w:numPr>
          <w:ilvl w:val="1"/>
          <w:numId w:val="15"/>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LMF, and reports the decision to LMF.</w:t>
      </w:r>
    </w:p>
    <w:p>
      <w:pPr>
        <w:numPr>
          <w:ilvl w:val="1"/>
          <w:numId w:val="15"/>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LMF.</w:t>
      </w:r>
    </w:p>
    <w:p>
      <w:pPr>
        <w:numPr>
          <w:ilvl w:val="1"/>
          <w:numId w:val="15"/>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LMF.</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UE capability</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RAN1 meeting, RAN1 also discussed UE capability reporting for AI/ML functionality identification and model identification, e.g. indicate supported functionalities/functionality or supported AI/ML model IDs as starting point. The related agreements are listed below.</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eastAsia="等线" w:cs="Times New Roman"/>
                <w:sz w:val="20"/>
                <w:szCs w:val="20"/>
                <w:highlight w:val="green"/>
                <w:lang w:eastAsia="zh-CN"/>
              </w:rPr>
            </w:pPr>
            <w:r>
              <w:rPr>
                <w:rFonts w:hint="default" w:ascii="Times New Roman" w:hAnsi="Times New Roman" w:cs="Times New Roman"/>
                <w:sz w:val="20"/>
                <w:szCs w:val="20"/>
                <w:highlight w:val="green"/>
                <w:lang w:val="en-US" w:eastAsia="zh-CN"/>
              </w:rPr>
              <w:t xml:space="preserve">RAN1#112 </w:t>
            </w:r>
            <w:r>
              <w:rPr>
                <w:rFonts w:hint="default" w:ascii="Times New Roman" w:hAnsi="Times New Roman" w:eastAsia="等线" w:cs="Times New Roman"/>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Autospacing="0" w:line="240" w:lineRule="auto"/>
              <w:ind w:left="0" w:firstLine="0"/>
              <w:textAlignment w:val="auto"/>
              <w:rPr>
                <w:rFonts w:hint="default" w:ascii="Times New Roman" w:hAnsi="Times New Roman" w:cs="Times New Roman"/>
                <w:sz w:val="20"/>
                <w:szCs w:val="20"/>
              </w:rPr>
            </w:pPr>
            <w:r>
              <w:rPr>
                <w:rFonts w:hint="default" w:ascii="Times New Roman" w:hAnsi="Times New Roman" w:cs="Times New Roman"/>
                <w:sz w:val="20"/>
                <w:szCs w:val="20"/>
              </w:rPr>
              <w:t>For UE-side models and UE-part of two-sided models:</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AI/ML functionality identification</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Reuse legacy 3GPP framework of Features as a starting point for discussion.</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indicates supported functionalities/functionality for a given sub-use-case.</w:t>
            </w:r>
          </w:p>
          <w:p>
            <w:pPr>
              <w:keepNext w:val="0"/>
              <w:keepLines w:val="0"/>
              <w:pageBreakBefore w:val="0"/>
              <w:widowControl w:val="0"/>
              <w:numPr>
                <w:ilvl w:val="2"/>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highlight w:val="yellow"/>
                <w:lang w:eastAsia="zh-CN"/>
              </w:rPr>
              <w:t>UE capability reporting is taken as starting point.</w:t>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AI/ML model identification </w:t>
            </w:r>
          </w:p>
          <w:p>
            <w:pPr>
              <w:keepNext w:val="0"/>
              <w:keepLines w:val="0"/>
              <w:pageBreakBefore w:val="0"/>
              <w:widowControl w:val="0"/>
              <w:numPr>
                <w:ilvl w:val="1"/>
                <w:numId w:val="8"/>
              </w:numPr>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Models are identified by model ID at the Network. UE indicates supported AI/ML models.</w:t>
            </w:r>
          </w:p>
          <w:p>
            <w:pPr>
              <w:spacing w:line="240" w:lineRule="auto"/>
              <w:ind w:left="0" w:firstLine="0"/>
              <w:rPr>
                <w:rFonts w:hint="eastAsia" w:ascii="Times New Roman" w:hAnsi="Times New Roman" w:cs="Times New Roman"/>
                <w:sz w:val="20"/>
                <w:szCs w:val="21"/>
                <w:highlight w:val="green"/>
                <w:lang w:val="en-US" w:eastAsia="zh-CN"/>
              </w:rPr>
            </w:pPr>
          </w:p>
          <w:p>
            <w:pPr>
              <w:spacing w:line="240" w:lineRule="auto"/>
              <w:ind w:left="0" w:firstLine="0"/>
              <w:rPr>
                <w:rFonts w:hint="default" w:ascii="Times New Roman" w:hAnsi="Times New Roman" w:cs="Times New Roman"/>
                <w:sz w:val="20"/>
                <w:szCs w:val="21"/>
                <w:highlight w:val="green"/>
                <w:lang w:eastAsia="zh-CN"/>
              </w:rPr>
            </w:pPr>
            <w:r>
              <w:rPr>
                <w:rFonts w:hint="eastAsia" w:ascii="Times New Roman" w:hAnsi="Times New Roman" w:cs="Times New Roman"/>
                <w:sz w:val="20"/>
                <w:szCs w:val="21"/>
                <w:highlight w:val="green"/>
                <w:lang w:val="en-US" w:eastAsia="zh-CN"/>
              </w:rPr>
              <w:t xml:space="preserve">RAN1#112bis-e </w:t>
            </w:r>
            <w:r>
              <w:rPr>
                <w:rFonts w:hint="default" w:ascii="Times New Roman" w:hAnsi="Times New Roman" w:cs="Times New Roman"/>
                <w:sz w:val="20"/>
                <w:szCs w:val="21"/>
                <w:highlight w:val="green"/>
                <w:lang w:eastAsia="zh-CN"/>
              </w:rPr>
              <w:t>Agreement</w:t>
            </w:r>
          </w:p>
          <w:p>
            <w:pPr>
              <w:numPr>
                <w:ilvl w:val="0"/>
                <w:numId w:val="16"/>
              </w:numPr>
              <w:spacing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For AI/ML functionality identification and functionality-based LCM of UE-side models and/or UE-part of two-sided models:</w:t>
            </w:r>
          </w:p>
          <w:p>
            <w:pPr>
              <w:numPr>
                <w:ilvl w:val="1"/>
                <w:numId w:val="17"/>
              </w:numPr>
              <w:spacing w:line="240" w:lineRule="auto"/>
              <w:rPr>
                <w:rFonts w:hint="default" w:ascii="Times New Roman" w:hAnsi="Times New Roman" w:cs="Times New Roman"/>
                <w:sz w:val="20"/>
                <w:szCs w:val="21"/>
                <w:lang w:eastAsia="zh-CN"/>
              </w:rPr>
            </w:pPr>
            <w:r>
              <w:rPr>
                <w:rFonts w:hint="default" w:ascii="Times New Roman" w:hAnsi="Times New Roman" w:cs="Times New Roman"/>
                <w:sz w:val="20"/>
                <w:szCs w:val="21"/>
                <w:highlight w:val="yellow"/>
                <w:lang w:eastAsia="zh-CN"/>
              </w:rPr>
              <w:t>Functionality refers to</w:t>
            </w:r>
            <w:r>
              <w:rPr>
                <w:rFonts w:hint="default" w:ascii="Times New Roman" w:hAnsi="Times New Roman" w:eastAsia="MS Mincho" w:cs="Times New Roman"/>
                <w:sz w:val="20"/>
                <w:szCs w:val="21"/>
                <w:highlight w:val="yellow"/>
                <w:lang w:eastAsia="ja-JP"/>
              </w:rPr>
              <w:t xml:space="preserve"> an AI/ML-enabled Feature/FG enabled by configuration(s), where</w:t>
            </w:r>
            <w:r>
              <w:rPr>
                <w:rFonts w:hint="default" w:ascii="Times New Roman" w:hAnsi="Times New Roman" w:eastAsia="MS Mincho" w:cs="Times New Roman"/>
                <w:sz w:val="20"/>
                <w:szCs w:val="21"/>
                <w:lang w:eastAsia="ja-JP"/>
              </w:rPr>
              <w:t xml:space="preserve"> </w:t>
            </w:r>
            <w:r>
              <w:rPr>
                <w:rFonts w:hint="default" w:ascii="Times New Roman" w:hAnsi="Times New Roman" w:eastAsia="MS Mincho" w:cs="Times New Roman"/>
                <w:sz w:val="20"/>
                <w:szCs w:val="21"/>
                <w:highlight w:val="yellow"/>
                <w:lang w:eastAsia="ja-JP"/>
              </w:rPr>
              <w:t>configuration(s) is(are) supported based on conditions indicated by UE capability</w:t>
            </w:r>
            <w:r>
              <w:rPr>
                <w:rFonts w:hint="default" w:ascii="Times New Roman" w:hAnsi="Times New Roman" w:eastAsia="MS Mincho" w:cs="Times New Roman"/>
                <w:sz w:val="20"/>
                <w:szCs w:val="21"/>
                <w:lang w:eastAsia="ja-JP"/>
              </w:rPr>
              <w:t>.</w:t>
            </w:r>
          </w:p>
          <w:p>
            <w:pPr>
              <w:numPr>
                <w:ilvl w:val="1"/>
                <w:numId w:val="17"/>
              </w:numPr>
              <w:spacing w:line="240" w:lineRule="auto"/>
              <w:rPr>
                <w:rFonts w:hint="default" w:ascii="Times New Roman" w:hAnsi="Times New Roman" w:eastAsia="MS Mincho" w:cs="Times New Roman"/>
                <w:sz w:val="20"/>
                <w:szCs w:val="21"/>
                <w:lang w:eastAsia="ja-JP"/>
              </w:rPr>
            </w:pPr>
            <w:r>
              <w:rPr>
                <w:rFonts w:hint="default" w:ascii="Times New Roman" w:hAnsi="Times New Roman" w:cs="Times New Roman"/>
                <w:sz w:val="20"/>
                <w:szCs w:val="21"/>
                <w:lang w:eastAsia="zh-CN"/>
              </w:rPr>
              <w:t>Correspo</w:t>
            </w:r>
            <w:r>
              <w:rPr>
                <w:rFonts w:hint="default" w:ascii="Times New Roman" w:hAnsi="Times New Roman" w:eastAsia="MS Mincho" w:cs="Times New Roman"/>
                <w:sz w:val="20"/>
                <w:szCs w:val="21"/>
                <w:lang w:eastAsia="ja-JP"/>
              </w:rPr>
              <w:t>ndingly, functionality-based LCM operates based on, at least, one configuration of AI/ML-enabled Feature/FG or specific configurations of an AI/ML-enabled Feature/FG.</w:t>
            </w:r>
          </w:p>
          <w:p>
            <w:pPr>
              <w:numPr>
                <w:ilvl w:val="2"/>
                <w:numId w:val="17"/>
              </w:numPr>
              <w:spacing w:line="240" w:lineRule="auto"/>
              <w:rPr>
                <w:rFonts w:hint="default" w:ascii="Times New Roman" w:hAnsi="Times New Roman" w:eastAsia="MS Mincho" w:cs="Times New Roman"/>
                <w:sz w:val="20"/>
                <w:szCs w:val="21"/>
                <w:lang w:eastAsia="ja-JP"/>
              </w:rPr>
            </w:pPr>
            <w:r>
              <w:rPr>
                <w:rFonts w:hint="default" w:ascii="Times New Roman" w:hAnsi="Times New Roman" w:eastAsia="MS Mincho" w:cs="Times New Roman"/>
                <w:sz w:val="20"/>
                <w:szCs w:val="21"/>
                <w:lang w:eastAsia="ja-JP"/>
              </w:rPr>
              <w:t>FFS: Signaling to support functionality-based LCM operations, e.g., to activate/deactivate/fallback/switch AI/ML functionalities</w:t>
            </w:r>
          </w:p>
          <w:p>
            <w:pPr>
              <w:numPr>
                <w:ilvl w:val="2"/>
                <w:numId w:val="17"/>
              </w:numPr>
              <w:spacing w:line="240" w:lineRule="auto"/>
              <w:rPr>
                <w:rFonts w:hint="default" w:ascii="Times New Roman" w:hAnsi="Times New Roman" w:cs="Times New Roman"/>
                <w:sz w:val="20"/>
                <w:szCs w:val="21"/>
                <w:lang w:eastAsia="zh-CN"/>
              </w:rPr>
            </w:pPr>
            <w:r>
              <w:rPr>
                <w:rFonts w:hint="default" w:ascii="Times New Roman" w:hAnsi="Times New Roman" w:eastAsia="MS Mincho" w:cs="Times New Roman"/>
                <w:sz w:val="20"/>
                <w:szCs w:val="21"/>
                <w:lang w:eastAsia="ja-JP"/>
              </w:rPr>
              <w:t>FFS: Whether/how to address additional conditions (e.g., scenarios, sites, and datasets) to aid UE-side transparent model operat</w:t>
            </w:r>
            <w:r>
              <w:rPr>
                <w:rFonts w:hint="default" w:ascii="Times New Roman" w:hAnsi="Times New Roman" w:cs="Times New Roman"/>
                <w:sz w:val="20"/>
                <w:szCs w:val="21"/>
                <w:lang w:eastAsia="zh-CN"/>
              </w:rPr>
              <w:t>ions (without model identification) at the Functionality level</w:t>
            </w:r>
          </w:p>
          <w:p>
            <w:pPr>
              <w:numPr>
                <w:ilvl w:val="2"/>
                <w:numId w:val="17"/>
              </w:numPr>
              <w:spacing w:line="240" w:lineRule="auto"/>
              <w:rPr>
                <w:rFonts w:hint="default" w:ascii="Times New Roman" w:hAnsi="Times New Roman" w:cs="Times New Roman"/>
                <w:sz w:val="20"/>
                <w:szCs w:val="21"/>
                <w:lang w:eastAsia="zh-CN"/>
              </w:rPr>
            </w:pPr>
            <w:r>
              <w:rPr>
                <w:rFonts w:hint="default" w:ascii="Times New Roman" w:hAnsi="Times New Roman" w:eastAsia="MS Mincho" w:cs="Times New Roman"/>
                <w:sz w:val="20"/>
                <w:szCs w:val="21"/>
                <w:lang w:eastAsia="ja-JP"/>
              </w:rPr>
              <w:t>FFS: Other aspects that may constitute Functionality</w:t>
            </w:r>
          </w:p>
          <w:p>
            <w:pPr>
              <w:numPr>
                <w:ilvl w:val="1"/>
                <w:numId w:val="17"/>
              </w:numPr>
              <w:spacing w:line="240" w:lineRule="auto"/>
              <w:jc w:val="both"/>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FFS: which aspects should be specified as conditions of a Feature/FG available for functionality will be discussed in each sub-use-case agenda.</w:t>
            </w:r>
          </w:p>
          <w:p>
            <w:pPr>
              <w:numPr>
                <w:ilvl w:val="0"/>
                <w:numId w:val="16"/>
              </w:numPr>
              <w:spacing w:line="240" w:lineRule="auto"/>
              <w:rPr>
                <w:rFonts w:hint="default" w:ascii="Times New Roman" w:hAnsi="Times New Roman" w:eastAsia="宋体" w:cs="Times New Roman"/>
                <w:sz w:val="20"/>
                <w:szCs w:val="21"/>
              </w:rPr>
            </w:pPr>
            <w:r>
              <w:rPr>
                <w:rFonts w:hint="default" w:ascii="Times New Roman" w:hAnsi="Times New Roman" w:cs="Times New Roman"/>
                <w:sz w:val="20"/>
                <w:szCs w:val="21"/>
                <w:lang w:eastAsia="zh-CN"/>
              </w:rPr>
              <w:t>For AI/ML model identification and model-ID-based LCM of UE-side models and/or UE-part of two-sided models:</w:t>
            </w:r>
          </w:p>
          <w:p>
            <w:pPr>
              <w:numPr>
                <w:ilvl w:val="1"/>
                <w:numId w:val="17"/>
              </w:numPr>
              <w:spacing w:line="240" w:lineRule="auto"/>
              <w:jc w:val="both"/>
              <w:rPr>
                <w:rFonts w:hint="default" w:ascii="Times New Roman" w:hAnsi="Times New Roman" w:cs="Times New Roman"/>
                <w:sz w:val="20"/>
                <w:szCs w:val="21"/>
                <w:lang w:eastAsia="zh-CN"/>
              </w:rPr>
            </w:pPr>
            <w:r>
              <w:rPr>
                <w:rFonts w:hint="default" w:ascii="Times New Roman" w:hAnsi="Times New Roman" w:cs="Times New Roman"/>
                <w:sz w:val="20"/>
                <w:szCs w:val="21"/>
                <w:highlight w:val="yellow"/>
                <w:lang w:eastAsia="zh-CN"/>
              </w:rPr>
              <w:t xml:space="preserve">model-ID-based LCM operates based on identified models, where a model may be associated with </w:t>
            </w:r>
            <w:r>
              <w:rPr>
                <w:rFonts w:hint="default" w:ascii="Times New Roman" w:hAnsi="Times New Roman" w:cs="Times New Roman"/>
                <w:color w:val="auto"/>
                <w:sz w:val="20"/>
                <w:szCs w:val="21"/>
                <w:highlight w:val="yellow"/>
                <w:lang w:eastAsia="zh-CN"/>
              </w:rPr>
              <w:t>specific configurations/conditions</w:t>
            </w:r>
            <w:r>
              <w:rPr>
                <w:rFonts w:hint="default" w:ascii="Times New Roman" w:hAnsi="Times New Roman" w:cs="Times New Roman"/>
                <w:sz w:val="20"/>
                <w:szCs w:val="21"/>
                <w:highlight w:val="yellow"/>
                <w:lang w:eastAsia="zh-CN"/>
              </w:rPr>
              <w:t xml:space="preserve"> associated with UE capability of an AI/ML-enabled Feature/FG and additional conditions (e.g., scenarios, sites, and datasets) as determined/identified between UE-side and NW-side.</w:t>
            </w:r>
          </w:p>
          <w:p>
            <w:pPr>
              <w:numPr>
                <w:ilvl w:val="1"/>
                <w:numId w:val="17"/>
              </w:numPr>
              <w:spacing w:line="240" w:lineRule="auto"/>
              <w:jc w:val="both"/>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FFS: Which aspects should be considered as additional conditions, and how to include them into model description information during model identification will be discussed in each sub-use-case agenda.</w:t>
            </w:r>
          </w:p>
          <w:p>
            <w:pPr>
              <w:numPr>
                <w:ilvl w:val="1"/>
                <w:numId w:val="17"/>
              </w:numPr>
              <w:spacing w:line="240" w:lineRule="auto"/>
              <w:jc w:val="both"/>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FFS: Relationship between functionality and model, e.g., whether a model may be identified referring to functionality(s).</w:t>
            </w:r>
          </w:p>
          <w:p>
            <w:pPr>
              <w:numPr>
                <w:ilvl w:val="1"/>
                <w:numId w:val="17"/>
              </w:numPr>
              <w:spacing w:line="240" w:lineRule="auto"/>
              <w:jc w:val="both"/>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FFS: relationship between functionality-based LCM and model-ID-based LCM</w:t>
            </w:r>
          </w:p>
          <w:p>
            <w:pPr>
              <w:numPr>
                <w:ilvl w:val="0"/>
                <w:numId w:val="17"/>
              </w:numPr>
              <w:spacing w:line="240" w:lineRule="auto"/>
              <w:jc w:val="both"/>
              <w:rPr>
                <w:rFonts w:hint="eastAsia" w:ascii="Arial" w:hAnsi="Arial" w:eastAsia="宋体" w:cs="Arial"/>
                <w:kern w:val="0"/>
                <w:sz w:val="20"/>
                <w:szCs w:val="20"/>
                <w:vertAlign w:val="baseline"/>
                <w:lang w:val="en-US" w:eastAsia="zh-CN"/>
              </w:rPr>
            </w:pPr>
            <w:r>
              <w:rPr>
                <w:rFonts w:hint="default" w:ascii="Times New Roman" w:hAnsi="Times New Roman" w:cs="Times New Roman"/>
                <w:sz w:val="20"/>
                <w:szCs w:val="21"/>
                <w:lang w:eastAsia="zh-CN"/>
              </w:rPr>
              <w:t>Note: Applicability of functionality-based LCM and model-ID-based LCM is a separate discussion.</w:t>
            </w:r>
          </w:p>
          <w:p>
            <w:pPr>
              <w:keepNext w:val="0"/>
              <w:keepLines w:val="0"/>
              <w:pageBreakBefore w:val="0"/>
              <w:shd w:val="clear" w:color="auto" w:fill="FFFFFF"/>
              <w:kinsoku/>
              <w:wordWrap/>
              <w:overflowPunct/>
              <w:topLinePunct w:val="0"/>
              <w:bidi w:val="0"/>
              <w:adjustRightInd w:val="0"/>
              <w:snapToGrid w:val="0"/>
              <w:spacing w:before="0" w:beforeLines="0" w:beforeAutospacing="0" w:after="0" w:afterLines="0" w:line="240" w:lineRule="auto"/>
              <w:ind w:left="360" w:leftChars="0" w:hanging="360"/>
              <w:textAlignment w:val="auto"/>
              <w:rPr>
                <w:rFonts w:hint="default" w:ascii="Times New Roman" w:hAnsi="Times New Roman" w:eastAsia="Batang" w:cs="Times New Roman"/>
                <w:sz w:val="20"/>
                <w:szCs w:val="20"/>
                <w:highlight w:val="green"/>
                <w:lang w:val="en-GB" w:eastAsia="en-US" w:bidi="ar-SA"/>
              </w:rPr>
            </w:pPr>
            <w:r>
              <w:rPr>
                <w:rFonts w:hint="eastAsia" w:ascii="Times New Roman" w:hAnsi="Times New Roman" w:eastAsia="宋体" w:cs="Times New Roman"/>
                <w:sz w:val="20"/>
                <w:szCs w:val="20"/>
                <w:highlight w:val="green"/>
                <w:lang w:val="en-US" w:eastAsia="zh-CN" w:bidi="ar-SA"/>
              </w:rPr>
              <w:t xml:space="preserve">RAN1#113 </w:t>
            </w:r>
            <w:r>
              <w:rPr>
                <w:rFonts w:hint="default" w:ascii="Times New Roman" w:hAnsi="Times New Roman" w:eastAsia="Batang" w:cs="Times New Roman"/>
                <w:sz w:val="20"/>
                <w:szCs w:val="20"/>
                <w:highlight w:val="green"/>
                <w:lang w:val="en-GB" w:eastAsia="en-US" w:bidi="ar-SA"/>
              </w:rPr>
              <w:t>Agreement</w:t>
            </w:r>
          </w:p>
          <w:p>
            <w:pPr>
              <w:keepNext w:val="0"/>
              <w:keepLines w:val="0"/>
              <w:pageBreakBefore w:val="0"/>
              <w:numPr>
                <w:ilvl w:val="0"/>
                <w:numId w:val="18"/>
              </w:numPr>
              <w:kinsoku/>
              <w:wordWrap/>
              <w:overflowPunct/>
              <w:topLinePunct w:val="0"/>
              <w:bidi w:val="0"/>
              <w:adjustRightInd w:val="0"/>
              <w:snapToGrid w:val="0"/>
              <w:spacing w:before="0" w:beforeLines="0" w:beforeAutospacing="0" w:after="0" w:afterLines="0" w:line="240" w:lineRule="auto"/>
              <w:ind w:left="720" w:leftChars="0" w:hanging="360"/>
              <w:textAlignment w:val="auto"/>
              <w:rPr>
                <w:rFonts w:hint="default" w:ascii="Times New Roman" w:hAnsi="Times New Roman" w:eastAsia="Batang" w:cs="Times New Roman"/>
                <w:sz w:val="20"/>
                <w:szCs w:val="20"/>
                <w:lang w:val="en-GB" w:eastAsia="en-US" w:bidi="ar-SA"/>
              </w:rPr>
            </w:pPr>
            <w:r>
              <w:rPr>
                <w:rFonts w:hint="default" w:ascii="Times New Roman" w:hAnsi="Times New Roman" w:eastAsia="微软雅黑" w:cs="Times New Roman"/>
                <w:sz w:val="20"/>
                <w:szCs w:val="20"/>
                <w:highlight w:val="yellow"/>
                <w:lang w:val="en-GB" w:eastAsia="en-US" w:bidi="ar-SA"/>
              </w:rPr>
              <w:t>Once models are identified</w:t>
            </w:r>
            <w:r>
              <w:rPr>
                <w:rFonts w:hint="default" w:ascii="Times New Roman" w:hAnsi="Times New Roman" w:eastAsia="Batang" w:cs="Times New Roman"/>
                <w:sz w:val="20"/>
                <w:szCs w:val="20"/>
                <w:highlight w:val="yellow"/>
                <w:lang w:val="en-GB" w:eastAsia="en-US" w:bidi="ar-SA"/>
              </w:rPr>
              <w:t xml:space="preserve">, UE can </w:t>
            </w:r>
            <w:r>
              <w:rPr>
                <w:rFonts w:hint="default" w:ascii="Times New Roman" w:hAnsi="Times New Roman" w:eastAsia="Batang" w:cs="Times New Roman"/>
                <w:color w:val="auto"/>
                <w:sz w:val="20"/>
                <w:szCs w:val="20"/>
                <w:highlight w:val="yellow"/>
                <w:lang w:val="en-GB" w:eastAsia="en-US" w:bidi="ar-SA"/>
              </w:rPr>
              <w:t>indicate supported AI/ML model IDs</w:t>
            </w:r>
            <w:r>
              <w:rPr>
                <w:rFonts w:hint="default" w:ascii="Times New Roman" w:hAnsi="Times New Roman" w:eastAsia="Batang" w:cs="Times New Roman"/>
                <w:sz w:val="20"/>
                <w:szCs w:val="20"/>
                <w:highlight w:val="yellow"/>
                <w:lang w:val="en-GB" w:eastAsia="en-US" w:bidi="ar-SA"/>
              </w:rPr>
              <w:t xml:space="preserve"> for a given AI/ML-enabled Feature/FG in a UE capability report as starting point</w:t>
            </w:r>
            <w:r>
              <w:rPr>
                <w:rFonts w:hint="default" w:ascii="Times New Roman" w:hAnsi="Times New Roman" w:eastAsia="Batang" w:cs="Times New Roman"/>
                <w:sz w:val="20"/>
                <w:szCs w:val="20"/>
                <w:lang w:val="en-GB" w:eastAsia="en-US" w:bidi="ar-SA"/>
              </w:rPr>
              <w:t>.</w:t>
            </w:r>
          </w:p>
          <w:p>
            <w:pPr>
              <w:keepNext w:val="0"/>
              <w:keepLines w:val="0"/>
              <w:pageBreakBefore w:val="0"/>
              <w:numPr>
                <w:ilvl w:val="1"/>
                <w:numId w:val="18"/>
              </w:numPr>
              <w:kinsoku/>
              <w:wordWrap/>
              <w:overflowPunct/>
              <w:topLinePunct w:val="0"/>
              <w:bidi w:val="0"/>
              <w:adjustRightInd w:val="0"/>
              <w:snapToGrid w:val="0"/>
              <w:spacing w:before="0" w:beforeLines="0" w:beforeAutospacing="0" w:after="0" w:afterLines="0" w:line="240" w:lineRule="auto"/>
              <w:ind w:left="1440" w:leftChars="0" w:hanging="360"/>
              <w:textAlignment w:val="auto"/>
              <w:rPr>
                <w:rFonts w:hint="default" w:ascii="Times New Roman" w:hAnsi="Times New Roman" w:eastAsia="Batang" w:cs="Times New Roman"/>
                <w:sz w:val="20"/>
                <w:szCs w:val="20"/>
                <w:lang w:val="en-GB" w:eastAsia="en-US" w:bidi="ar-SA"/>
              </w:rPr>
            </w:pPr>
            <w:r>
              <w:rPr>
                <w:rFonts w:hint="default" w:ascii="Times New Roman" w:hAnsi="Times New Roman" w:eastAsia="等线" w:cs="Times New Roman"/>
                <w:sz w:val="20"/>
                <w:szCs w:val="20"/>
                <w:lang w:val="en-GB" w:eastAsia="zh-CN" w:bidi="ar-SA"/>
              </w:rPr>
              <w:t xml:space="preserve">FFS: applicability to model identification, Type A, type B1 and type B2 </w:t>
            </w:r>
          </w:p>
          <w:p>
            <w:pPr>
              <w:keepNext w:val="0"/>
              <w:keepLines w:val="0"/>
              <w:pageBreakBefore w:val="0"/>
              <w:numPr>
                <w:ilvl w:val="2"/>
                <w:numId w:val="18"/>
              </w:numPr>
              <w:kinsoku/>
              <w:wordWrap/>
              <w:overflowPunct/>
              <w:topLinePunct w:val="0"/>
              <w:bidi w:val="0"/>
              <w:adjustRightInd w:val="0"/>
              <w:snapToGrid w:val="0"/>
              <w:spacing w:before="0" w:beforeLines="0" w:beforeAutospacing="0" w:after="0" w:afterLines="0" w:line="240" w:lineRule="auto"/>
              <w:ind w:left="2160" w:leftChars="0" w:hanging="360"/>
              <w:textAlignment w:val="auto"/>
              <w:rPr>
                <w:rFonts w:hint="default" w:ascii="Times New Roman" w:hAnsi="Times New Roman" w:eastAsia="Batang" w:cs="Times New Roman"/>
                <w:sz w:val="20"/>
                <w:szCs w:val="20"/>
                <w:lang w:val="en-GB" w:eastAsia="en-US" w:bidi="ar-SA"/>
              </w:rPr>
            </w:pPr>
            <w:r>
              <w:rPr>
                <w:rFonts w:hint="default" w:ascii="Times New Roman" w:hAnsi="Times New Roman" w:eastAsia="Batang" w:cs="Times New Roman"/>
                <w:sz w:val="20"/>
                <w:szCs w:val="20"/>
                <w:lang w:val="en-GB" w:eastAsia="en-US" w:bidi="ar-SA"/>
              </w:rPr>
              <w:t>FFS: Using a procedure other than UE capability report</w:t>
            </w:r>
          </w:p>
          <w:p>
            <w:pPr>
              <w:keepNext w:val="0"/>
              <w:keepLines w:val="0"/>
              <w:pageBreakBefore w:val="0"/>
              <w:numPr>
                <w:ilvl w:val="1"/>
                <w:numId w:val="18"/>
              </w:numPr>
              <w:kinsoku/>
              <w:wordWrap/>
              <w:overflowPunct/>
              <w:topLinePunct w:val="0"/>
              <w:bidi w:val="0"/>
              <w:adjustRightInd w:val="0"/>
              <w:snapToGrid w:val="0"/>
              <w:spacing w:before="0" w:beforeLines="0" w:beforeAutospacing="0" w:after="0" w:afterLines="0" w:line="240" w:lineRule="auto"/>
              <w:ind w:left="1440" w:leftChars="0" w:hanging="360"/>
              <w:textAlignment w:val="auto"/>
              <w:rPr>
                <w:rFonts w:hint="eastAsia" w:ascii="Arial" w:hAnsi="Arial" w:eastAsia="宋体" w:cs="Arial"/>
                <w:kern w:val="0"/>
                <w:sz w:val="20"/>
                <w:szCs w:val="20"/>
                <w:vertAlign w:val="baseline"/>
                <w:lang w:val="en-US" w:eastAsia="zh-CN"/>
              </w:rPr>
            </w:pPr>
            <w:r>
              <w:rPr>
                <w:rFonts w:hint="default" w:ascii="Times New Roman" w:hAnsi="Times New Roman" w:eastAsia="等线" w:cs="Times New Roman"/>
                <w:sz w:val="20"/>
                <w:szCs w:val="20"/>
                <w:lang w:val="en-GB" w:eastAsia="zh-CN" w:bidi="ar-SA"/>
              </w:rPr>
              <w:t>Note: model identification using</w:t>
            </w:r>
            <w:r>
              <w:rPr>
                <w:rFonts w:hint="default" w:ascii="Times New Roman" w:hAnsi="Times New Roman" w:eastAsia="等线" w:cs="Times New Roman"/>
                <w:color w:val="0000FF"/>
                <w:sz w:val="20"/>
                <w:szCs w:val="20"/>
                <w:lang w:val="en-GB" w:eastAsia="zh-CN" w:bidi="ar-SA"/>
              </w:rPr>
              <w:t xml:space="preserve"> </w:t>
            </w:r>
            <w:r>
              <w:rPr>
                <w:rFonts w:hint="default" w:ascii="Times New Roman" w:hAnsi="Times New Roman" w:eastAsia="等线" w:cs="Times New Roman"/>
                <w:color w:val="auto"/>
                <w:sz w:val="20"/>
                <w:szCs w:val="20"/>
                <w:lang w:val="en-GB" w:eastAsia="zh-CN" w:bidi="ar-SA"/>
              </w:rPr>
              <w:t>capability report</w:t>
            </w:r>
            <w:r>
              <w:rPr>
                <w:rFonts w:hint="default" w:ascii="Times New Roman" w:hAnsi="Times New Roman" w:eastAsia="等线" w:cs="Times New Roman"/>
                <w:sz w:val="20"/>
                <w:szCs w:val="20"/>
                <w:lang w:val="en-GB" w:eastAsia="zh-CN" w:bidi="ar-SA"/>
              </w:rPr>
              <w:t xml:space="preserve"> is not precluded for type B1 and type B2</w:t>
            </w:r>
          </w:p>
        </w:tc>
      </w:tr>
    </w:tbl>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As per RAN1 agreements, we think the legacy UE capability reporting mechanism can be used as baseline for AI/ML capability reporting.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legacy UE capability reporting mechanism can be used as baseline for AI/ML capability reporting.</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RAN1 agreed that functionality refers to an AI/ML-enabled Feature/FG enabled by configuration(s), where configuration(s) is(are) supported based on conditions indicated by UE capability. The details of conditions can wait for RAN1</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further clarification. RAN1 also mentioned to whether to consider additional conditions (e.g. scenarios, sites, datasets), we understand that these conditions can be changed frequently since the mobility of UE or the change of radio channel condition. If the supported functionality/condition changes, the UE should update its new capability to the network to keep aligned between UE and network. However, in legacy mechanism, UE reports its capabilities which are static, legacy UE capability may be not applicable for conditions reporting/updating. </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conditions (e.g. scenarios, sites, datasets) reporting/updating, RAN2 can further study how to support it, such as introduce new dynamic capability reporting, or enhancements on the existing mechanism. In previous meeting, companies proposed to consider UAI framework and </w:t>
      </w:r>
      <w:r>
        <w:rPr>
          <w:rFonts w:hint="eastAsia" w:ascii="Arial" w:hAnsi="Arial" w:eastAsia="宋体" w:cs="Arial"/>
          <w:i/>
          <w:iCs/>
          <w:kern w:val="0"/>
          <w:sz w:val="20"/>
          <w:szCs w:val="20"/>
          <w:lang w:val="en-US" w:eastAsia="zh-CN"/>
        </w:rPr>
        <w:t xml:space="preserve">needForGap </w:t>
      </w:r>
      <w:r>
        <w:rPr>
          <w:rFonts w:hint="eastAsia" w:ascii="Arial" w:hAnsi="Arial" w:eastAsia="宋体" w:cs="Arial"/>
          <w:kern w:val="0"/>
          <w:sz w:val="20"/>
          <w:szCs w:val="20"/>
          <w:lang w:val="en-US" w:eastAsia="zh-CN"/>
        </w:rPr>
        <w:t>reporting framework, we are fine with this as starting point, and the enhancements can be further discussed.</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RAN2 can consider to use UAI framework and </w:t>
      </w:r>
      <w:r>
        <w:rPr>
          <w:rFonts w:hint="eastAsia" w:ascii="Arial" w:hAnsi="Arial" w:eastAsia="宋体" w:cs="Arial"/>
          <w:b/>
          <w:bCs/>
          <w:i/>
          <w:iCs/>
          <w:kern w:val="0"/>
          <w:sz w:val="20"/>
          <w:szCs w:val="20"/>
          <w:lang w:val="en-US" w:eastAsia="zh-CN"/>
        </w:rPr>
        <w:t xml:space="preserve">needForGap </w:t>
      </w:r>
      <w:r>
        <w:rPr>
          <w:rFonts w:hint="eastAsia" w:ascii="Arial" w:hAnsi="Arial" w:eastAsia="宋体" w:cs="Arial"/>
          <w:b/>
          <w:bCs/>
          <w:kern w:val="0"/>
          <w:sz w:val="20"/>
          <w:szCs w:val="20"/>
          <w:lang w:val="en-US" w:eastAsia="zh-CN"/>
        </w:rPr>
        <w:t>reporting framework as starting point for further discussion on applicability conditions (e.g. scenarios, sites, and datasets)  reporting/updating.</w:t>
      </w:r>
    </w:p>
    <w:p>
      <w:pPr>
        <w:widowControl/>
        <w:spacing w:before="120" w:beforeLines="50" w:after="180"/>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model control and other LCM procedures</w:t>
      </w:r>
      <w:r>
        <w:rPr>
          <w:rFonts w:ascii="Arial" w:hAnsi="Arial" w:eastAsia="宋体" w:cs="Arial"/>
          <w:kern w:val="0"/>
          <w:sz w:val="20"/>
          <w:szCs w:val="20"/>
          <w:lang w:val="en-GB" w:eastAsia="en-US"/>
        </w:rPr>
        <w:t>.</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1: For CSI compression with two-sided model, RAN2 further discuss the following mechanism for model control:</w:t>
      </w:r>
    </w:p>
    <w:p>
      <w:pPr>
        <w:numPr>
          <w:ilvl w:val="0"/>
          <w:numId w:val="19"/>
        </w:numPr>
        <w:spacing w:before="120" w:beforeLines="50" w:after="120" w:line="260" w:lineRule="exact"/>
        <w:ind w:left="845" w:leftChars="0" w:hanging="425"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19"/>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UE initiates model control and requests to the gNB, gNB makes decision then indicates the decision to UE. </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beam management with UE-side model, RAN2 further study the following mechanism for model control:</w:t>
      </w:r>
    </w:p>
    <w:p>
      <w:pPr>
        <w:numPr>
          <w:ilvl w:val="0"/>
          <w:numId w:val="20"/>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gNB-initiated: gNB initiates and makes decision of model control, then indicates the decision to UE.</w:t>
      </w:r>
    </w:p>
    <w:p>
      <w:pPr>
        <w:numPr>
          <w:ilvl w:val="0"/>
          <w:numId w:val="20"/>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numPr>
          <w:ilvl w:val="1"/>
          <w:numId w:val="20"/>
        </w:numPr>
        <w:spacing w:before="120" w:beforeLines="50" w:after="120" w:line="260" w:lineRule="exact"/>
        <w:ind w:left="1260" w:leftChars="0" w:hanging="420"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gNB, gNB makes decision then indicates the decision to UE.</w:t>
      </w:r>
    </w:p>
    <w:p>
      <w:pPr>
        <w:numPr>
          <w:ilvl w:val="1"/>
          <w:numId w:val="20"/>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gNB, and reports the decision to gNB.</w:t>
      </w:r>
    </w:p>
    <w:p>
      <w:pPr>
        <w:numPr>
          <w:ilvl w:val="1"/>
          <w:numId w:val="20"/>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gNB.</w:t>
      </w:r>
    </w:p>
    <w:p>
      <w:pPr>
        <w:numPr>
          <w:ilvl w:val="1"/>
          <w:numId w:val="20"/>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gNB.</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positioning with UE-side model, RAN2 further study the following mechanism for model control:</w:t>
      </w:r>
    </w:p>
    <w:p>
      <w:pPr>
        <w:numPr>
          <w:ilvl w:val="0"/>
          <w:numId w:val="21"/>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LMF-initiated: LMF initiates and makes decision of model control, then indicates the decision to UE.</w:t>
      </w:r>
    </w:p>
    <w:p>
      <w:pPr>
        <w:numPr>
          <w:ilvl w:val="0"/>
          <w:numId w:val="21"/>
        </w:numPr>
        <w:spacing w:before="120" w:beforeLines="50" w:after="120" w:line="260" w:lineRule="exact"/>
        <w:ind w:left="845" w:leftChars="0" w:hanging="425"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UE-initiated: </w:t>
      </w:r>
    </w:p>
    <w:p>
      <w:pPr>
        <w:numPr>
          <w:ilvl w:val="1"/>
          <w:numId w:val="21"/>
        </w:numPr>
        <w:spacing w:before="120" w:beforeLines="50" w:after="120" w:line="260" w:lineRule="exact"/>
        <w:ind w:left="1260" w:leftChars="0" w:hanging="420" w:firstLineChars="0"/>
        <w:rPr>
          <w:rFonts w:hint="eastAsia" w:ascii="Arial" w:hAnsi="Arial" w:cs="Arial"/>
          <w:b/>
          <w:bCs w:val="0"/>
          <w:sz w:val="20"/>
          <w:szCs w:val="20"/>
          <w:lang w:val="en-US" w:eastAsia="zh-CN"/>
        </w:rPr>
      </w:pPr>
      <w:r>
        <w:rPr>
          <w:rFonts w:hint="eastAsia" w:ascii="Arial" w:hAnsi="Arial" w:cs="Arial"/>
          <w:b/>
          <w:bCs w:val="0"/>
          <w:sz w:val="20"/>
          <w:szCs w:val="20"/>
          <w:lang w:val="en-US" w:eastAsia="zh-CN"/>
        </w:rPr>
        <w:t>UE initiates model control and requests to the LMF, LMF makes decision then indicates the decision to UE.</w:t>
      </w:r>
    </w:p>
    <w:p>
      <w:pPr>
        <w:numPr>
          <w:ilvl w:val="1"/>
          <w:numId w:val="21"/>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based on the event configured by LMF, and reports the decision to LMF.</w:t>
      </w:r>
    </w:p>
    <w:p>
      <w:pPr>
        <w:numPr>
          <w:ilvl w:val="1"/>
          <w:numId w:val="21"/>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reports the decision to LMF.</w:t>
      </w:r>
    </w:p>
    <w:p>
      <w:pPr>
        <w:numPr>
          <w:ilvl w:val="1"/>
          <w:numId w:val="21"/>
        </w:numPr>
        <w:spacing w:before="120" w:beforeLines="50" w:after="120" w:line="260" w:lineRule="exact"/>
        <w:ind w:left="1260" w:leftChars="0" w:hanging="420" w:firstLineChars="0"/>
        <w:rPr>
          <w:rFonts w:hint="default" w:ascii="Arial" w:hAnsi="Arial" w:cs="Arial"/>
          <w:b/>
          <w:bCs w:val="0"/>
          <w:sz w:val="20"/>
          <w:szCs w:val="20"/>
          <w:lang w:val="en-US" w:eastAsia="zh-CN"/>
        </w:rPr>
      </w:pPr>
      <w:r>
        <w:rPr>
          <w:rFonts w:hint="eastAsia" w:ascii="Arial" w:hAnsi="Arial" w:cs="Arial"/>
          <w:b/>
          <w:bCs w:val="0"/>
          <w:sz w:val="20"/>
          <w:szCs w:val="20"/>
          <w:lang w:val="en-US" w:eastAsia="zh-CN"/>
        </w:rPr>
        <w:t>UE initiates and makes decision of model control autonomously, and not reports the decision to LMF.</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legacy UE capability reporting mechanism can be used as baseline for AI/ML capability reporting.</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RAN2 can consider to use UAI framework and </w:t>
      </w:r>
      <w:r>
        <w:rPr>
          <w:rFonts w:hint="eastAsia" w:ascii="Arial" w:hAnsi="Arial" w:eastAsia="宋体" w:cs="Arial"/>
          <w:b/>
          <w:bCs/>
          <w:i/>
          <w:iCs/>
          <w:kern w:val="0"/>
          <w:sz w:val="20"/>
          <w:szCs w:val="20"/>
          <w:lang w:val="en-US" w:eastAsia="zh-CN"/>
        </w:rPr>
        <w:t xml:space="preserve">needForGap </w:t>
      </w:r>
      <w:r>
        <w:rPr>
          <w:rFonts w:hint="eastAsia" w:ascii="Arial" w:hAnsi="Arial" w:eastAsia="宋体" w:cs="Arial"/>
          <w:b/>
          <w:bCs/>
          <w:kern w:val="0"/>
          <w:sz w:val="20"/>
          <w:szCs w:val="20"/>
          <w:lang w:val="en-US" w:eastAsia="zh-CN"/>
        </w:rPr>
        <w:t>reporting framework as starting point for further discussion on applicability conditions (e.g. scenarios, sites, and datasets)  reporting/updating.</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1bis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2</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ED47E"/>
    <w:multiLevelType w:val="multilevel"/>
    <w:tmpl w:val="984ED47E"/>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1">
    <w:nsid w:val="B9C1CC90"/>
    <w:multiLevelType w:val="singleLevel"/>
    <w:tmpl w:val="B9C1CC90"/>
    <w:lvl w:ilvl="0" w:tentative="0">
      <w:start w:val="1"/>
      <w:numFmt w:val="decimal"/>
      <w:lvlText w:val="%1)"/>
      <w:lvlJc w:val="left"/>
      <w:pPr>
        <w:tabs>
          <w:tab w:val="left" w:pos="420"/>
        </w:tabs>
        <w:ind w:left="845" w:hanging="425"/>
      </w:pPr>
      <w:rPr>
        <w:rFonts w:hint="default"/>
      </w:rPr>
    </w:lvl>
  </w:abstractNum>
  <w:abstractNum w:abstractNumId="2">
    <w:nsid w:val="F573AA3D"/>
    <w:multiLevelType w:val="multilevel"/>
    <w:tmpl w:val="F573AA3D"/>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3">
    <w:nsid w:val="FC7BBC9F"/>
    <w:multiLevelType w:val="singleLevel"/>
    <w:tmpl w:val="FC7BBC9F"/>
    <w:lvl w:ilvl="0" w:tentative="0">
      <w:start w:val="1"/>
      <w:numFmt w:val="decimal"/>
      <w:lvlText w:val="%1)"/>
      <w:lvlJc w:val="left"/>
      <w:pPr>
        <w:tabs>
          <w:tab w:val="left" w:pos="420"/>
        </w:tabs>
        <w:ind w:left="845" w:hanging="425"/>
      </w:pPr>
      <w:rPr>
        <w:rFonts w:hint="default"/>
      </w:rPr>
    </w:lvl>
  </w:abstractNum>
  <w:abstractNum w:abstractNumId="4">
    <w:nsid w:val="00463063"/>
    <w:multiLevelType w:val="multilevel"/>
    <w:tmpl w:val="004630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E6175A1"/>
    <w:multiLevelType w:val="multilevel"/>
    <w:tmpl w:val="0E6175A1"/>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7">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3F39D75"/>
    <w:multiLevelType w:val="multilevel"/>
    <w:tmpl w:val="23F39D75"/>
    <w:lvl w:ilvl="0" w:tentative="0">
      <w:start w:val="1"/>
      <w:numFmt w:val="decimal"/>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1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2">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4">
    <w:nsid w:val="375611AA"/>
    <w:multiLevelType w:val="multilevel"/>
    <w:tmpl w:val="375611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50BED944"/>
    <w:multiLevelType w:val="singleLevel"/>
    <w:tmpl w:val="50BED944"/>
    <w:lvl w:ilvl="0" w:tentative="0">
      <w:start w:val="1"/>
      <w:numFmt w:val="decimal"/>
      <w:lvlText w:val="%1"/>
      <w:lvlJc w:val="left"/>
    </w:lvl>
  </w:abstractNum>
  <w:abstractNum w:abstractNumId="18">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18D7D2E"/>
    <w:multiLevelType w:val="multilevel"/>
    <w:tmpl w:val="718D7D2E"/>
    <w:lvl w:ilvl="0" w:tentative="0">
      <w:start w:val="1"/>
      <w:numFmt w:val="decimal"/>
      <w:pStyle w:val="2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3E15CD7"/>
    <w:multiLevelType w:val="multilevel"/>
    <w:tmpl w:val="73E15CD7"/>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21">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6"/>
  </w:num>
  <w:num w:numId="2">
    <w:abstractNumId w:val="5"/>
  </w:num>
  <w:num w:numId="3">
    <w:abstractNumId w:val="19"/>
  </w:num>
  <w:num w:numId="4">
    <w:abstractNumId w:val="18"/>
  </w:num>
  <w:num w:numId="5">
    <w:abstractNumId w:val="17"/>
  </w:num>
  <w:num w:numId="6">
    <w:abstractNumId w:val="11"/>
  </w:num>
  <w:num w:numId="7">
    <w:abstractNumId w:val="4"/>
  </w:num>
  <w:num w:numId="8">
    <w:abstractNumId w:val="7"/>
  </w:num>
  <w:num w:numId="9">
    <w:abstractNumId w:val="20"/>
  </w:num>
  <w:num w:numId="10">
    <w:abstractNumId w:val="15"/>
  </w:num>
  <w:num w:numId="11">
    <w:abstractNumId w:val="1"/>
  </w:num>
  <w:num w:numId="12">
    <w:abstractNumId w:val="9"/>
  </w:num>
  <w:num w:numId="13">
    <w:abstractNumId w:val="6"/>
  </w:num>
  <w:num w:numId="14">
    <w:abstractNumId w:val="8"/>
  </w:num>
  <w:num w:numId="15">
    <w:abstractNumId w:val="2"/>
  </w:num>
  <w:num w:numId="16">
    <w:abstractNumId w:val="12"/>
  </w:num>
  <w:num w:numId="17">
    <w:abstractNumId w:val="21"/>
  </w:num>
  <w:num w:numId="18">
    <w:abstractNumId w:val="14"/>
  </w:num>
  <w:num w:numId="19">
    <w:abstractNumId w:val="3"/>
  </w:num>
  <w:num w:numId="20">
    <w:abstractNumId w:val="0"/>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BE3751"/>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840FB9"/>
    <w:rsid w:val="01A574CF"/>
    <w:rsid w:val="01E966BF"/>
    <w:rsid w:val="029B08C6"/>
    <w:rsid w:val="02A424C3"/>
    <w:rsid w:val="02B71025"/>
    <w:rsid w:val="02E355DA"/>
    <w:rsid w:val="02FA6D08"/>
    <w:rsid w:val="0300491B"/>
    <w:rsid w:val="030E32B0"/>
    <w:rsid w:val="03633D83"/>
    <w:rsid w:val="038A1F16"/>
    <w:rsid w:val="041A101A"/>
    <w:rsid w:val="046B508B"/>
    <w:rsid w:val="04A12BB9"/>
    <w:rsid w:val="04A37BF0"/>
    <w:rsid w:val="04F25DBA"/>
    <w:rsid w:val="04FD5053"/>
    <w:rsid w:val="05395C84"/>
    <w:rsid w:val="054134AD"/>
    <w:rsid w:val="05AD7C3D"/>
    <w:rsid w:val="05B81468"/>
    <w:rsid w:val="05E67A32"/>
    <w:rsid w:val="05FB3716"/>
    <w:rsid w:val="061355E6"/>
    <w:rsid w:val="069766D8"/>
    <w:rsid w:val="06EB297F"/>
    <w:rsid w:val="06F44776"/>
    <w:rsid w:val="071830B3"/>
    <w:rsid w:val="072E12A5"/>
    <w:rsid w:val="072E4FA9"/>
    <w:rsid w:val="07554650"/>
    <w:rsid w:val="079F7BD5"/>
    <w:rsid w:val="07CC0B7F"/>
    <w:rsid w:val="08241B14"/>
    <w:rsid w:val="08346E32"/>
    <w:rsid w:val="084F3982"/>
    <w:rsid w:val="08BD2F14"/>
    <w:rsid w:val="093223D0"/>
    <w:rsid w:val="09414F75"/>
    <w:rsid w:val="094470AB"/>
    <w:rsid w:val="095A6DFD"/>
    <w:rsid w:val="098E6FAE"/>
    <w:rsid w:val="09926330"/>
    <w:rsid w:val="09B92009"/>
    <w:rsid w:val="09D63199"/>
    <w:rsid w:val="09F124DC"/>
    <w:rsid w:val="0A103B20"/>
    <w:rsid w:val="0A1469F1"/>
    <w:rsid w:val="0A173D8A"/>
    <w:rsid w:val="0A7809B7"/>
    <w:rsid w:val="0AAC7074"/>
    <w:rsid w:val="0AB622D1"/>
    <w:rsid w:val="0ADE2342"/>
    <w:rsid w:val="0AE21792"/>
    <w:rsid w:val="0B0B67C5"/>
    <w:rsid w:val="0B11078A"/>
    <w:rsid w:val="0B7E67EB"/>
    <w:rsid w:val="0B96175E"/>
    <w:rsid w:val="0BB81E48"/>
    <w:rsid w:val="0BF550E1"/>
    <w:rsid w:val="0C202296"/>
    <w:rsid w:val="0C415301"/>
    <w:rsid w:val="0C4853AF"/>
    <w:rsid w:val="0C5153CA"/>
    <w:rsid w:val="0C5466CF"/>
    <w:rsid w:val="0C7F3E15"/>
    <w:rsid w:val="0CC05689"/>
    <w:rsid w:val="0CD5224C"/>
    <w:rsid w:val="0CE47224"/>
    <w:rsid w:val="0D362C45"/>
    <w:rsid w:val="0D711EBE"/>
    <w:rsid w:val="0D771EA7"/>
    <w:rsid w:val="0DA728AC"/>
    <w:rsid w:val="0DAD175B"/>
    <w:rsid w:val="0DE14E46"/>
    <w:rsid w:val="0E036786"/>
    <w:rsid w:val="0E3D4FDF"/>
    <w:rsid w:val="0E4A09D7"/>
    <w:rsid w:val="0E56201A"/>
    <w:rsid w:val="0E6E3C34"/>
    <w:rsid w:val="0EF45A48"/>
    <w:rsid w:val="0F1D748A"/>
    <w:rsid w:val="0F4E079B"/>
    <w:rsid w:val="0F782620"/>
    <w:rsid w:val="0F8A7784"/>
    <w:rsid w:val="0FC803F4"/>
    <w:rsid w:val="10090A65"/>
    <w:rsid w:val="108B22CD"/>
    <w:rsid w:val="10AC6F3F"/>
    <w:rsid w:val="10C31C47"/>
    <w:rsid w:val="10C64AE7"/>
    <w:rsid w:val="10F04644"/>
    <w:rsid w:val="110171B2"/>
    <w:rsid w:val="111F30A5"/>
    <w:rsid w:val="119B1CE5"/>
    <w:rsid w:val="11D44799"/>
    <w:rsid w:val="11E4251C"/>
    <w:rsid w:val="12030414"/>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4256000"/>
    <w:rsid w:val="1466786F"/>
    <w:rsid w:val="14A668A4"/>
    <w:rsid w:val="14A9029F"/>
    <w:rsid w:val="14E836E8"/>
    <w:rsid w:val="14F142C3"/>
    <w:rsid w:val="150B6FBF"/>
    <w:rsid w:val="152B1104"/>
    <w:rsid w:val="154A66B0"/>
    <w:rsid w:val="159C7EDD"/>
    <w:rsid w:val="15BE553B"/>
    <w:rsid w:val="15E03E14"/>
    <w:rsid w:val="15E9482E"/>
    <w:rsid w:val="161147C5"/>
    <w:rsid w:val="16327956"/>
    <w:rsid w:val="166A7A3B"/>
    <w:rsid w:val="16725680"/>
    <w:rsid w:val="16A3322F"/>
    <w:rsid w:val="16C120B7"/>
    <w:rsid w:val="16D51B5B"/>
    <w:rsid w:val="17916AE6"/>
    <w:rsid w:val="17AE49E6"/>
    <w:rsid w:val="17CD5A7B"/>
    <w:rsid w:val="18035F6A"/>
    <w:rsid w:val="18254BD6"/>
    <w:rsid w:val="185C58E1"/>
    <w:rsid w:val="186366A3"/>
    <w:rsid w:val="187A66B9"/>
    <w:rsid w:val="1881324F"/>
    <w:rsid w:val="18A246AF"/>
    <w:rsid w:val="192F165F"/>
    <w:rsid w:val="195E3B99"/>
    <w:rsid w:val="196E4FB3"/>
    <w:rsid w:val="19BE4145"/>
    <w:rsid w:val="1A025B24"/>
    <w:rsid w:val="1A40430B"/>
    <w:rsid w:val="1A9A126F"/>
    <w:rsid w:val="1AA4601E"/>
    <w:rsid w:val="1ABF7C53"/>
    <w:rsid w:val="1ADE6206"/>
    <w:rsid w:val="1AE7452F"/>
    <w:rsid w:val="1B5E2B2B"/>
    <w:rsid w:val="1BB22919"/>
    <w:rsid w:val="1C263D41"/>
    <w:rsid w:val="1C6673DB"/>
    <w:rsid w:val="1C726F5B"/>
    <w:rsid w:val="1C794EE6"/>
    <w:rsid w:val="1CC529AF"/>
    <w:rsid w:val="1D031FA5"/>
    <w:rsid w:val="1D700D25"/>
    <w:rsid w:val="1DE55E1B"/>
    <w:rsid w:val="1DEA2636"/>
    <w:rsid w:val="1E015BFF"/>
    <w:rsid w:val="1E261FEC"/>
    <w:rsid w:val="1E2F1416"/>
    <w:rsid w:val="1E5D014C"/>
    <w:rsid w:val="1E625159"/>
    <w:rsid w:val="1E6C052F"/>
    <w:rsid w:val="1EB31B66"/>
    <w:rsid w:val="1EB529F8"/>
    <w:rsid w:val="1EF17AB3"/>
    <w:rsid w:val="1F1F4D17"/>
    <w:rsid w:val="1FE63CE8"/>
    <w:rsid w:val="205E7BE3"/>
    <w:rsid w:val="208A18F1"/>
    <w:rsid w:val="208D63E6"/>
    <w:rsid w:val="20A506BA"/>
    <w:rsid w:val="20DA5663"/>
    <w:rsid w:val="20F63843"/>
    <w:rsid w:val="20FE18B0"/>
    <w:rsid w:val="215A766D"/>
    <w:rsid w:val="21B47737"/>
    <w:rsid w:val="21FA5606"/>
    <w:rsid w:val="220A4513"/>
    <w:rsid w:val="22705035"/>
    <w:rsid w:val="22B32E1B"/>
    <w:rsid w:val="22CD6AE0"/>
    <w:rsid w:val="236906A5"/>
    <w:rsid w:val="2375481A"/>
    <w:rsid w:val="23822B30"/>
    <w:rsid w:val="23B74B7D"/>
    <w:rsid w:val="23EE120B"/>
    <w:rsid w:val="2403705B"/>
    <w:rsid w:val="249D5D77"/>
    <w:rsid w:val="24B445FB"/>
    <w:rsid w:val="24C74F14"/>
    <w:rsid w:val="24D708E2"/>
    <w:rsid w:val="251B6F7E"/>
    <w:rsid w:val="252515BC"/>
    <w:rsid w:val="2540746A"/>
    <w:rsid w:val="25F5013E"/>
    <w:rsid w:val="262A1C6D"/>
    <w:rsid w:val="26315BFD"/>
    <w:rsid w:val="26537397"/>
    <w:rsid w:val="26A276B5"/>
    <w:rsid w:val="26BA68C7"/>
    <w:rsid w:val="27BC024E"/>
    <w:rsid w:val="27BE3E87"/>
    <w:rsid w:val="27C17045"/>
    <w:rsid w:val="27C35275"/>
    <w:rsid w:val="283167B4"/>
    <w:rsid w:val="28682A73"/>
    <w:rsid w:val="28E404D9"/>
    <w:rsid w:val="28F4407D"/>
    <w:rsid w:val="291138C7"/>
    <w:rsid w:val="29120E51"/>
    <w:rsid w:val="29733D9F"/>
    <w:rsid w:val="29796A12"/>
    <w:rsid w:val="29A61468"/>
    <w:rsid w:val="29BE37C1"/>
    <w:rsid w:val="2A7D74CC"/>
    <w:rsid w:val="2A7F4563"/>
    <w:rsid w:val="2AE929E4"/>
    <w:rsid w:val="2B3F4C1F"/>
    <w:rsid w:val="2B4D1216"/>
    <w:rsid w:val="2B58393A"/>
    <w:rsid w:val="2BE06712"/>
    <w:rsid w:val="2C095760"/>
    <w:rsid w:val="2C6E581C"/>
    <w:rsid w:val="2D146D2C"/>
    <w:rsid w:val="2D3B7B03"/>
    <w:rsid w:val="2D440581"/>
    <w:rsid w:val="2D470656"/>
    <w:rsid w:val="2D493ADC"/>
    <w:rsid w:val="2D55451C"/>
    <w:rsid w:val="2D5B158F"/>
    <w:rsid w:val="2D7224A9"/>
    <w:rsid w:val="2DF144D1"/>
    <w:rsid w:val="2DFB5B8B"/>
    <w:rsid w:val="2DFB6036"/>
    <w:rsid w:val="2E8E0650"/>
    <w:rsid w:val="2EA86437"/>
    <w:rsid w:val="2EB103B1"/>
    <w:rsid w:val="2F0F71E6"/>
    <w:rsid w:val="2F383A5C"/>
    <w:rsid w:val="2F4559EE"/>
    <w:rsid w:val="2FBE43F5"/>
    <w:rsid w:val="2FC53C32"/>
    <w:rsid w:val="2FD157C7"/>
    <w:rsid w:val="300A115E"/>
    <w:rsid w:val="30296BB8"/>
    <w:rsid w:val="309D4655"/>
    <w:rsid w:val="30C026F3"/>
    <w:rsid w:val="314F223D"/>
    <w:rsid w:val="315423FA"/>
    <w:rsid w:val="315B7AEC"/>
    <w:rsid w:val="317503B0"/>
    <w:rsid w:val="31D53C4D"/>
    <w:rsid w:val="31F71A11"/>
    <w:rsid w:val="31FE12AB"/>
    <w:rsid w:val="321B4537"/>
    <w:rsid w:val="32513A45"/>
    <w:rsid w:val="32B50B2C"/>
    <w:rsid w:val="32C84DFE"/>
    <w:rsid w:val="3337740D"/>
    <w:rsid w:val="33805DA1"/>
    <w:rsid w:val="33934B2E"/>
    <w:rsid w:val="33C37075"/>
    <w:rsid w:val="34062C68"/>
    <w:rsid w:val="34B443F6"/>
    <w:rsid w:val="34E12F4E"/>
    <w:rsid w:val="34EC41DF"/>
    <w:rsid w:val="35040A33"/>
    <w:rsid w:val="351A24AD"/>
    <w:rsid w:val="354E123E"/>
    <w:rsid w:val="354F2AD2"/>
    <w:rsid w:val="355E3CDD"/>
    <w:rsid w:val="35C60438"/>
    <w:rsid w:val="360D6591"/>
    <w:rsid w:val="361F2C5E"/>
    <w:rsid w:val="363976F7"/>
    <w:rsid w:val="366E68DA"/>
    <w:rsid w:val="366E6C94"/>
    <w:rsid w:val="36E02E58"/>
    <w:rsid w:val="36F84B57"/>
    <w:rsid w:val="3751494E"/>
    <w:rsid w:val="375A24EA"/>
    <w:rsid w:val="37757EA8"/>
    <w:rsid w:val="3784494C"/>
    <w:rsid w:val="37D62F7A"/>
    <w:rsid w:val="3801173C"/>
    <w:rsid w:val="38060F79"/>
    <w:rsid w:val="38746ABC"/>
    <w:rsid w:val="38761BD7"/>
    <w:rsid w:val="38AE69D5"/>
    <w:rsid w:val="38FC32F5"/>
    <w:rsid w:val="39030A9D"/>
    <w:rsid w:val="396866FD"/>
    <w:rsid w:val="397E03C2"/>
    <w:rsid w:val="39DF043A"/>
    <w:rsid w:val="3A070DC0"/>
    <w:rsid w:val="3A190883"/>
    <w:rsid w:val="3A2065C7"/>
    <w:rsid w:val="3A34378D"/>
    <w:rsid w:val="3A36160B"/>
    <w:rsid w:val="3AFB6043"/>
    <w:rsid w:val="3B191C47"/>
    <w:rsid w:val="3B295FAA"/>
    <w:rsid w:val="3B5C6A72"/>
    <w:rsid w:val="3B7F2CAA"/>
    <w:rsid w:val="3C1A13DF"/>
    <w:rsid w:val="3C4F0EBB"/>
    <w:rsid w:val="3C635FA0"/>
    <w:rsid w:val="3C8659AE"/>
    <w:rsid w:val="3CA66A58"/>
    <w:rsid w:val="3CBE3C7C"/>
    <w:rsid w:val="3CD165D4"/>
    <w:rsid w:val="3CF316DB"/>
    <w:rsid w:val="3D5B3EF0"/>
    <w:rsid w:val="3D5C58DF"/>
    <w:rsid w:val="3DB23DD9"/>
    <w:rsid w:val="3E1D0075"/>
    <w:rsid w:val="3E390C78"/>
    <w:rsid w:val="3E500D27"/>
    <w:rsid w:val="3E573ADE"/>
    <w:rsid w:val="3EA55E90"/>
    <w:rsid w:val="3ECD0998"/>
    <w:rsid w:val="3ED508CA"/>
    <w:rsid w:val="3F1109BC"/>
    <w:rsid w:val="3F1B7587"/>
    <w:rsid w:val="3F805B16"/>
    <w:rsid w:val="3FA42170"/>
    <w:rsid w:val="3FAF36DB"/>
    <w:rsid w:val="405759DA"/>
    <w:rsid w:val="406A14B3"/>
    <w:rsid w:val="407C15D8"/>
    <w:rsid w:val="41171B69"/>
    <w:rsid w:val="41415E9E"/>
    <w:rsid w:val="41883A8E"/>
    <w:rsid w:val="418A60B4"/>
    <w:rsid w:val="41B370D6"/>
    <w:rsid w:val="42212582"/>
    <w:rsid w:val="42755843"/>
    <w:rsid w:val="42765B4A"/>
    <w:rsid w:val="42C70708"/>
    <w:rsid w:val="42E0254C"/>
    <w:rsid w:val="42E961EB"/>
    <w:rsid w:val="42F40D67"/>
    <w:rsid w:val="43146FF6"/>
    <w:rsid w:val="433204F8"/>
    <w:rsid w:val="433C3AAA"/>
    <w:rsid w:val="4345322A"/>
    <w:rsid w:val="43964A1C"/>
    <w:rsid w:val="44031DB9"/>
    <w:rsid w:val="447943E7"/>
    <w:rsid w:val="44B41FCD"/>
    <w:rsid w:val="44F46625"/>
    <w:rsid w:val="45195F11"/>
    <w:rsid w:val="454C191C"/>
    <w:rsid w:val="459911EE"/>
    <w:rsid w:val="4599227F"/>
    <w:rsid w:val="45B766C5"/>
    <w:rsid w:val="45BE024B"/>
    <w:rsid w:val="45BE2AD4"/>
    <w:rsid w:val="45C2437E"/>
    <w:rsid w:val="45EA2721"/>
    <w:rsid w:val="46300B95"/>
    <w:rsid w:val="468E459F"/>
    <w:rsid w:val="4699240B"/>
    <w:rsid w:val="46B00D9E"/>
    <w:rsid w:val="46B7014A"/>
    <w:rsid w:val="46D33E10"/>
    <w:rsid w:val="46ED5CA5"/>
    <w:rsid w:val="46FE4C6E"/>
    <w:rsid w:val="475A659D"/>
    <w:rsid w:val="476207DA"/>
    <w:rsid w:val="47944B93"/>
    <w:rsid w:val="47C04462"/>
    <w:rsid w:val="47C96CD1"/>
    <w:rsid w:val="47D84F8A"/>
    <w:rsid w:val="47DB6ABB"/>
    <w:rsid w:val="48083448"/>
    <w:rsid w:val="48460696"/>
    <w:rsid w:val="48816847"/>
    <w:rsid w:val="492E569F"/>
    <w:rsid w:val="494B446A"/>
    <w:rsid w:val="494E1C27"/>
    <w:rsid w:val="49A36AB0"/>
    <w:rsid w:val="49A97E85"/>
    <w:rsid w:val="49D92DDD"/>
    <w:rsid w:val="49EF5321"/>
    <w:rsid w:val="4A347F6C"/>
    <w:rsid w:val="4A444508"/>
    <w:rsid w:val="4A456A14"/>
    <w:rsid w:val="4A631DE2"/>
    <w:rsid w:val="4A66451F"/>
    <w:rsid w:val="4A9D45B8"/>
    <w:rsid w:val="4A9F545E"/>
    <w:rsid w:val="4A9F6828"/>
    <w:rsid w:val="4AAB056F"/>
    <w:rsid w:val="4ABB612A"/>
    <w:rsid w:val="4AF56000"/>
    <w:rsid w:val="4B626F00"/>
    <w:rsid w:val="4BC53B5B"/>
    <w:rsid w:val="4C340FD6"/>
    <w:rsid w:val="4C964045"/>
    <w:rsid w:val="4D010671"/>
    <w:rsid w:val="4D352FBB"/>
    <w:rsid w:val="4D743D8A"/>
    <w:rsid w:val="4E2452B7"/>
    <w:rsid w:val="4E695109"/>
    <w:rsid w:val="4E9C3B92"/>
    <w:rsid w:val="4E9D6524"/>
    <w:rsid w:val="4EAD1AF9"/>
    <w:rsid w:val="4EE23C1E"/>
    <w:rsid w:val="4F1913AC"/>
    <w:rsid w:val="4F6426A9"/>
    <w:rsid w:val="4F7A31F5"/>
    <w:rsid w:val="4FB92CDA"/>
    <w:rsid w:val="4FE775A6"/>
    <w:rsid w:val="4FF54231"/>
    <w:rsid w:val="50077447"/>
    <w:rsid w:val="50210A30"/>
    <w:rsid w:val="50623802"/>
    <w:rsid w:val="50652E94"/>
    <w:rsid w:val="50A970CD"/>
    <w:rsid w:val="5163596F"/>
    <w:rsid w:val="51A0460E"/>
    <w:rsid w:val="51A823AB"/>
    <w:rsid w:val="51CC648B"/>
    <w:rsid w:val="52065DA2"/>
    <w:rsid w:val="522E4D5D"/>
    <w:rsid w:val="52642695"/>
    <w:rsid w:val="528B1069"/>
    <w:rsid w:val="528F0DD4"/>
    <w:rsid w:val="52930D7F"/>
    <w:rsid w:val="5296438C"/>
    <w:rsid w:val="53D170F4"/>
    <w:rsid w:val="54606A92"/>
    <w:rsid w:val="54611A81"/>
    <w:rsid w:val="556232E2"/>
    <w:rsid w:val="55846FDD"/>
    <w:rsid w:val="55CD48C4"/>
    <w:rsid w:val="55CF1159"/>
    <w:rsid w:val="562365CA"/>
    <w:rsid w:val="56340430"/>
    <w:rsid w:val="56581D59"/>
    <w:rsid w:val="56622D6D"/>
    <w:rsid w:val="566F0985"/>
    <w:rsid w:val="568502CA"/>
    <w:rsid w:val="56B0773B"/>
    <w:rsid w:val="571760EF"/>
    <w:rsid w:val="57792910"/>
    <w:rsid w:val="5781180D"/>
    <w:rsid w:val="57C77D46"/>
    <w:rsid w:val="57CF4F1B"/>
    <w:rsid w:val="58201757"/>
    <w:rsid w:val="585818C8"/>
    <w:rsid w:val="58602168"/>
    <w:rsid w:val="58834A68"/>
    <w:rsid w:val="58AB4E89"/>
    <w:rsid w:val="58AD7356"/>
    <w:rsid w:val="58B5550E"/>
    <w:rsid w:val="58BD5C76"/>
    <w:rsid w:val="58C11261"/>
    <w:rsid w:val="58C34E9B"/>
    <w:rsid w:val="58D20175"/>
    <w:rsid w:val="59340E0B"/>
    <w:rsid w:val="59AD7B0E"/>
    <w:rsid w:val="59D55070"/>
    <w:rsid w:val="59FD6E5D"/>
    <w:rsid w:val="5A2F5AF5"/>
    <w:rsid w:val="5A8D1386"/>
    <w:rsid w:val="5A93303B"/>
    <w:rsid w:val="5ABB6C3C"/>
    <w:rsid w:val="5AFF7905"/>
    <w:rsid w:val="5B1836AE"/>
    <w:rsid w:val="5B492C91"/>
    <w:rsid w:val="5B6B15AA"/>
    <w:rsid w:val="5BAF6495"/>
    <w:rsid w:val="5BF25754"/>
    <w:rsid w:val="5C1E13B0"/>
    <w:rsid w:val="5C662A50"/>
    <w:rsid w:val="5CC73DD6"/>
    <w:rsid w:val="5CEA2522"/>
    <w:rsid w:val="5CF2777D"/>
    <w:rsid w:val="5D2708E3"/>
    <w:rsid w:val="5D664D05"/>
    <w:rsid w:val="5D7C584C"/>
    <w:rsid w:val="5D7F0635"/>
    <w:rsid w:val="5D894E7F"/>
    <w:rsid w:val="5D8D080D"/>
    <w:rsid w:val="5DB874CC"/>
    <w:rsid w:val="5DBF6493"/>
    <w:rsid w:val="5DC12605"/>
    <w:rsid w:val="5E3E4C2D"/>
    <w:rsid w:val="5E5867E1"/>
    <w:rsid w:val="5E874CE8"/>
    <w:rsid w:val="5EB00E5C"/>
    <w:rsid w:val="5ED3533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63042B"/>
    <w:rsid w:val="608D05B5"/>
    <w:rsid w:val="60A62DBA"/>
    <w:rsid w:val="60C03CCF"/>
    <w:rsid w:val="60C939E2"/>
    <w:rsid w:val="60D42D03"/>
    <w:rsid w:val="60E62C9D"/>
    <w:rsid w:val="61A06374"/>
    <w:rsid w:val="622470A5"/>
    <w:rsid w:val="625D25EA"/>
    <w:rsid w:val="62857C4E"/>
    <w:rsid w:val="6286607D"/>
    <w:rsid w:val="62881694"/>
    <w:rsid w:val="62A62781"/>
    <w:rsid w:val="62E05FC6"/>
    <w:rsid w:val="63464F7D"/>
    <w:rsid w:val="634B0772"/>
    <w:rsid w:val="636E7A2E"/>
    <w:rsid w:val="63815A2A"/>
    <w:rsid w:val="63C01CBD"/>
    <w:rsid w:val="643F3D04"/>
    <w:rsid w:val="644204E6"/>
    <w:rsid w:val="64635DFB"/>
    <w:rsid w:val="64AF3910"/>
    <w:rsid w:val="64BC2C9E"/>
    <w:rsid w:val="64C626B7"/>
    <w:rsid w:val="65912A7B"/>
    <w:rsid w:val="65BC474F"/>
    <w:rsid w:val="660E4242"/>
    <w:rsid w:val="662519F4"/>
    <w:rsid w:val="66354951"/>
    <w:rsid w:val="6679092A"/>
    <w:rsid w:val="66BA2385"/>
    <w:rsid w:val="66DB09CF"/>
    <w:rsid w:val="66E96680"/>
    <w:rsid w:val="67237A0F"/>
    <w:rsid w:val="67487CFE"/>
    <w:rsid w:val="677038E2"/>
    <w:rsid w:val="67757B99"/>
    <w:rsid w:val="677777A9"/>
    <w:rsid w:val="67B43783"/>
    <w:rsid w:val="67B92A72"/>
    <w:rsid w:val="68213418"/>
    <w:rsid w:val="68233F9E"/>
    <w:rsid w:val="685F5A07"/>
    <w:rsid w:val="689340A3"/>
    <w:rsid w:val="68DC73EC"/>
    <w:rsid w:val="692372AA"/>
    <w:rsid w:val="69293200"/>
    <w:rsid w:val="694347AF"/>
    <w:rsid w:val="694F06EB"/>
    <w:rsid w:val="6963607F"/>
    <w:rsid w:val="69766916"/>
    <w:rsid w:val="698F77F4"/>
    <w:rsid w:val="69B23B9D"/>
    <w:rsid w:val="69E82867"/>
    <w:rsid w:val="6A835994"/>
    <w:rsid w:val="6AA159CB"/>
    <w:rsid w:val="6AA26939"/>
    <w:rsid w:val="6ACB1DCC"/>
    <w:rsid w:val="6AD50437"/>
    <w:rsid w:val="6AE4041A"/>
    <w:rsid w:val="6AEE57CB"/>
    <w:rsid w:val="6B9C69D2"/>
    <w:rsid w:val="6BB104FC"/>
    <w:rsid w:val="6BC75657"/>
    <w:rsid w:val="6BD126F0"/>
    <w:rsid w:val="6BE1773A"/>
    <w:rsid w:val="6BE35659"/>
    <w:rsid w:val="6C2B66F7"/>
    <w:rsid w:val="6C56491E"/>
    <w:rsid w:val="6C5B64F3"/>
    <w:rsid w:val="6CB84F3A"/>
    <w:rsid w:val="6D05726A"/>
    <w:rsid w:val="6D673555"/>
    <w:rsid w:val="6D717C1E"/>
    <w:rsid w:val="6DC267F1"/>
    <w:rsid w:val="6E032FC6"/>
    <w:rsid w:val="6E083615"/>
    <w:rsid w:val="6E0D26B4"/>
    <w:rsid w:val="6E360FB8"/>
    <w:rsid w:val="6E44084F"/>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6B4405"/>
    <w:rsid w:val="70801B07"/>
    <w:rsid w:val="709A7A5C"/>
    <w:rsid w:val="70A1406F"/>
    <w:rsid w:val="710E0DA5"/>
    <w:rsid w:val="715B3C2A"/>
    <w:rsid w:val="71803C89"/>
    <w:rsid w:val="71994E64"/>
    <w:rsid w:val="71EE7FB9"/>
    <w:rsid w:val="72536FDC"/>
    <w:rsid w:val="726A4B26"/>
    <w:rsid w:val="727D75DF"/>
    <w:rsid w:val="72D36E77"/>
    <w:rsid w:val="72FB66FD"/>
    <w:rsid w:val="732115AB"/>
    <w:rsid w:val="732872C5"/>
    <w:rsid w:val="73B920B2"/>
    <w:rsid w:val="74085669"/>
    <w:rsid w:val="74412921"/>
    <w:rsid w:val="7475710D"/>
    <w:rsid w:val="747621BD"/>
    <w:rsid w:val="750B356A"/>
    <w:rsid w:val="750C4DDC"/>
    <w:rsid w:val="7510569F"/>
    <w:rsid w:val="756950CA"/>
    <w:rsid w:val="75922EAF"/>
    <w:rsid w:val="75AD28A1"/>
    <w:rsid w:val="760A7D9D"/>
    <w:rsid w:val="763E51CC"/>
    <w:rsid w:val="766026E6"/>
    <w:rsid w:val="76B770A6"/>
    <w:rsid w:val="76CE7275"/>
    <w:rsid w:val="76E4362B"/>
    <w:rsid w:val="770A1659"/>
    <w:rsid w:val="7712242B"/>
    <w:rsid w:val="771F60E4"/>
    <w:rsid w:val="773A7A8E"/>
    <w:rsid w:val="77AA0007"/>
    <w:rsid w:val="782F327E"/>
    <w:rsid w:val="78A06277"/>
    <w:rsid w:val="78C64F8E"/>
    <w:rsid w:val="791A1EB8"/>
    <w:rsid w:val="79641A6A"/>
    <w:rsid w:val="798E4E1E"/>
    <w:rsid w:val="79A37A59"/>
    <w:rsid w:val="79C61A14"/>
    <w:rsid w:val="7A020CA3"/>
    <w:rsid w:val="7A067805"/>
    <w:rsid w:val="7AA408FA"/>
    <w:rsid w:val="7B123707"/>
    <w:rsid w:val="7B307625"/>
    <w:rsid w:val="7B347CEC"/>
    <w:rsid w:val="7B761608"/>
    <w:rsid w:val="7C105077"/>
    <w:rsid w:val="7C416F95"/>
    <w:rsid w:val="7C4C4283"/>
    <w:rsid w:val="7C4E5B9F"/>
    <w:rsid w:val="7C580760"/>
    <w:rsid w:val="7C972C2F"/>
    <w:rsid w:val="7C9C47E0"/>
    <w:rsid w:val="7C9E070C"/>
    <w:rsid w:val="7CBB152F"/>
    <w:rsid w:val="7D2C343C"/>
    <w:rsid w:val="7DBE5AB2"/>
    <w:rsid w:val="7E4B1AB3"/>
    <w:rsid w:val="7E58216F"/>
    <w:rsid w:val="7E886BD8"/>
    <w:rsid w:val="7E922F1E"/>
    <w:rsid w:val="7EEF7176"/>
    <w:rsid w:val="7EF02A7F"/>
    <w:rsid w:val="7F5D7752"/>
    <w:rsid w:val="7F71470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b/>
      <w:bCs/>
    </w:rPr>
  </w:style>
  <w:style w:type="paragraph" w:styleId="7">
    <w:name w:val="annotation text"/>
    <w:basedOn w:val="1"/>
    <w:link w:val="26"/>
    <w:qFormat/>
    <w:uiPriority w:val="99"/>
    <w:pPr>
      <w:jc w:val="left"/>
    </w:pPr>
  </w:style>
  <w:style w:type="paragraph" w:styleId="8">
    <w:name w:val="Body Text"/>
    <w:basedOn w:val="1"/>
    <w:qFormat/>
    <w:uiPriority w:val="0"/>
    <w:pPr>
      <w:spacing w:after="120"/>
      <w:jc w:val="both"/>
    </w:p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qFormat/>
    <w:uiPriority w:val="0"/>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11"/>
    <w:qFormat/>
    <w:uiPriority w:val="0"/>
  </w:style>
  <w:style w:type="paragraph" w:customStyle="1" w:styleId="24">
    <w:name w:val="Doc-text2"/>
    <w:basedOn w:val="1"/>
    <w:qFormat/>
    <w:uiPriority w:val="0"/>
    <w:pPr>
      <w:tabs>
        <w:tab w:val="left" w:pos="1622"/>
      </w:tabs>
      <w:ind w:left="1622" w:hanging="363"/>
      <w:jc w:val="left"/>
    </w:pPr>
    <w:rPr>
      <w:rFonts w:eastAsia="MS Mincho"/>
      <w:szCs w:val="24"/>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5"/>
    <w:link w:val="7"/>
    <w:qFormat/>
    <w:uiPriority w:val="99"/>
    <w:rPr>
      <w:kern w:val="2"/>
      <w:sz w:val="21"/>
      <w:szCs w:val="22"/>
    </w:rPr>
  </w:style>
  <w:style w:type="character" w:customStyle="1" w:styleId="27">
    <w:name w:val="批注主题 字符"/>
    <w:basedOn w:val="26"/>
    <w:link w:val="12"/>
    <w:semiHidden/>
    <w:qFormat/>
    <w:uiPriority w:val="99"/>
    <w:rPr>
      <w:b/>
      <w:bCs/>
      <w:kern w:val="2"/>
      <w:sz w:val="21"/>
      <w:szCs w:val="22"/>
    </w:rPr>
  </w:style>
  <w:style w:type="character" w:customStyle="1" w:styleId="28">
    <w:name w:val="标题 4 字符2"/>
    <w:link w:val="5"/>
    <w:qFormat/>
    <w:uiPriority w:val="9"/>
    <w:rPr>
      <w:i/>
    </w:rPr>
  </w:style>
  <w:style w:type="paragraph" w:customStyle="1" w:styleId="29">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30">
    <w:name w:val="Comments"/>
    <w:basedOn w:val="1"/>
    <w:qFormat/>
    <w:uiPriority w:val="0"/>
    <w:rPr>
      <w:i/>
      <w:sz w:val="18"/>
    </w:rPr>
  </w:style>
  <w:style w:type="paragraph" w:customStyle="1" w:styleId="31">
    <w:name w:val="Agreement"/>
    <w:basedOn w:val="1"/>
    <w:next w:val="24"/>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6</TotalTime>
  <ScaleCrop>false</ScaleCrop>
  <LinksUpToDate>false</LinksUpToDate>
  <CharactersWithSpaces>15565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2023-08-11T07:01:14Z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A5CD1CDC858A495A9E72C5409892B2E4</vt:lpwstr>
  </property>
</Properties>
</file>